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9D" w:rsidRDefault="00BA369D" w:rsidP="008C14D8">
      <w:pPr>
        <w:rPr>
          <w:rFonts w:ascii="Calibri" w:hAnsi="Calibri" w:cs="Calibri"/>
        </w:rPr>
      </w:pPr>
      <w:r>
        <w:rPr>
          <w:rFonts w:ascii="Calibri" w:hAnsi="Calibri" w:cs="Calibri"/>
        </w:rPr>
        <w:t xml:space="preserve">The </w:t>
      </w:r>
      <w:r w:rsidRPr="00D22F75">
        <w:rPr>
          <w:rFonts w:ascii="Calibri" w:hAnsi="Calibri" w:cs="Calibri"/>
        </w:rPr>
        <w:t xml:space="preserve">Preservation, Enhancement, and Transformation of Rental Assistance Act of 2010 (PETRA) </w:t>
      </w:r>
      <w:r>
        <w:rPr>
          <w:rFonts w:ascii="Calibri" w:hAnsi="Calibri" w:cs="Calibri"/>
        </w:rPr>
        <w:t xml:space="preserve">represents the most important commitment in a generation to </w:t>
      </w:r>
      <w:r w:rsidRPr="001542D5">
        <w:rPr>
          <w:rFonts w:ascii="Calibri" w:hAnsi="Calibri" w:cs="Calibri"/>
        </w:rPr>
        <w:t>provid</w:t>
      </w:r>
      <w:r>
        <w:rPr>
          <w:rFonts w:ascii="Calibri" w:hAnsi="Calibri" w:cs="Calibri"/>
        </w:rPr>
        <w:t>ing</w:t>
      </w:r>
      <w:r w:rsidRPr="001542D5">
        <w:rPr>
          <w:rFonts w:ascii="Calibri" w:hAnsi="Calibri" w:cs="Calibri"/>
        </w:rPr>
        <w:t xml:space="preserve"> affordable housing to America’s</w:t>
      </w:r>
      <w:r>
        <w:rPr>
          <w:rFonts w:ascii="Calibri" w:hAnsi="Calibri" w:cs="Calibri"/>
        </w:rPr>
        <w:t xml:space="preserve"> most vulnerable families. But making change at this scale wouldn’t be possible without the contributions of those outside the Washington Beltway who know HUD’s rental assistance programs best. Through </w:t>
      </w:r>
      <w:r w:rsidRPr="001542D5">
        <w:rPr>
          <w:rFonts w:ascii="Calibri" w:hAnsi="Calibri" w:cs="Calibri"/>
        </w:rPr>
        <w:t xml:space="preserve">five </w:t>
      </w:r>
      <w:proofErr w:type="spellStart"/>
      <w:r w:rsidRPr="001542D5">
        <w:rPr>
          <w:rFonts w:ascii="Calibri" w:hAnsi="Calibri" w:cs="Calibri"/>
        </w:rPr>
        <w:t>convenings</w:t>
      </w:r>
      <w:proofErr w:type="spellEnd"/>
      <w:r w:rsidRPr="001542D5">
        <w:rPr>
          <w:rFonts w:ascii="Calibri" w:hAnsi="Calibri" w:cs="Calibri"/>
        </w:rPr>
        <w:t xml:space="preserve"> and </w:t>
      </w:r>
      <w:r>
        <w:rPr>
          <w:rFonts w:ascii="Calibri" w:hAnsi="Calibri" w:cs="Calibri"/>
        </w:rPr>
        <w:t xml:space="preserve">numerous </w:t>
      </w:r>
      <w:r w:rsidRPr="001542D5">
        <w:rPr>
          <w:rFonts w:ascii="Calibri" w:hAnsi="Calibri" w:cs="Calibri"/>
        </w:rPr>
        <w:t xml:space="preserve">briefings </w:t>
      </w:r>
      <w:r>
        <w:rPr>
          <w:rFonts w:ascii="Calibri" w:hAnsi="Calibri" w:cs="Calibri"/>
        </w:rPr>
        <w:t xml:space="preserve">and interactive webcasts </w:t>
      </w:r>
      <w:r w:rsidRPr="001542D5">
        <w:rPr>
          <w:rFonts w:ascii="Calibri" w:hAnsi="Calibri" w:cs="Calibri"/>
        </w:rPr>
        <w:t>these last 6 months</w:t>
      </w:r>
      <w:r>
        <w:rPr>
          <w:rFonts w:ascii="Calibri" w:hAnsi="Calibri" w:cs="Calibri"/>
        </w:rPr>
        <w:t xml:space="preserve">, HUD sought the input of residents, owners, </w:t>
      </w:r>
      <w:proofErr w:type="spellStart"/>
      <w:r>
        <w:rPr>
          <w:rFonts w:ascii="Calibri" w:hAnsi="Calibri" w:cs="Calibri"/>
        </w:rPr>
        <w:t>PHAs</w:t>
      </w:r>
      <w:proofErr w:type="spellEnd"/>
      <w:r>
        <w:rPr>
          <w:rFonts w:ascii="Calibri" w:hAnsi="Calibri" w:cs="Calibri"/>
        </w:rPr>
        <w:t xml:space="preserve">, developers, and others – asking thousands of stakeholders what works about our programs, what needs to improve, and </w:t>
      </w:r>
      <w:r w:rsidRPr="001542D5">
        <w:rPr>
          <w:rFonts w:ascii="Calibri" w:hAnsi="Calibri" w:cs="Calibri"/>
        </w:rPr>
        <w:t xml:space="preserve">how </w:t>
      </w:r>
      <w:r>
        <w:rPr>
          <w:rFonts w:ascii="Calibri" w:hAnsi="Calibri" w:cs="Calibri"/>
        </w:rPr>
        <w:t xml:space="preserve">they </w:t>
      </w:r>
      <w:r w:rsidRPr="001542D5">
        <w:rPr>
          <w:rFonts w:ascii="Calibri" w:hAnsi="Calibri" w:cs="Calibri"/>
        </w:rPr>
        <w:t>must change.</w:t>
      </w:r>
    </w:p>
    <w:p w:rsidR="00BA369D" w:rsidRPr="00A14D8A" w:rsidRDefault="00BA369D" w:rsidP="008C14D8">
      <w:pPr>
        <w:rPr>
          <w:rFonts w:ascii="Calibri" w:hAnsi="Calibri" w:cs="Calibri"/>
        </w:rPr>
      </w:pPr>
      <w:r>
        <w:rPr>
          <w:rFonts w:ascii="Calibri" w:hAnsi="Calibri" w:cs="Calibri"/>
        </w:rPr>
        <w:t>In response, HUD has made at least 40 changes to PETRA – each the result of stakeholder input, concerns, or suggestions. See for yourself why PETRA reflects not only some of HUD’s best thinking – but also some of our best listening.</w:t>
      </w:r>
    </w:p>
    <w:p w:rsidR="00BA369D" w:rsidRPr="009019FA" w:rsidRDefault="00BA369D" w:rsidP="00EE076B">
      <w:pPr>
        <w:rPr>
          <w:rStyle w:val="IntenseReference"/>
          <w:rFonts w:ascii="Calibri" w:hAnsi="Calibri" w:cs="Calibri"/>
        </w:rPr>
      </w:pPr>
      <w:r>
        <w:rPr>
          <w:rStyle w:val="IntenseReference"/>
          <w:rFonts w:ascii="Calibri" w:hAnsi="Calibri" w:cs="Calibri"/>
        </w:rPr>
        <w:t>Provide Owners with Conversion Options</w:t>
      </w:r>
    </w:p>
    <w:p w:rsidR="00BA369D" w:rsidRPr="00A14D8A" w:rsidRDefault="00BA369D" w:rsidP="00C84B16">
      <w:pPr>
        <w:pStyle w:val="ListParagraph"/>
        <w:numPr>
          <w:ilvl w:val="0"/>
          <w:numId w:val="1"/>
        </w:numPr>
        <w:spacing w:before="120" w:after="120"/>
        <w:rPr>
          <w:rFonts w:ascii="Calibri" w:hAnsi="Calibri" w:cs="Calibri"/>
          <w:i/>
          <w:iCs/>
        </w:rPr>
      </w:pPr>
      <w:r w:rsidRPr="00A14D8A">
        <w:rPr>
          <w:rFonts w:ascii="Calibri" w:hAnsi="Calibri" w:cs="Calibri"/>
          <w:i/>
          <w:iCs/>
        </w:rPr>
        <w:t>“</w:t>
      </w:r>
      <w:proofErr w:type="spellStart"/>
      <w:r w:rsidRPr="00A14D8A">
        <w:rPr>
          <w:rFonts w:ascii="Calibri" w:hAnsi="Calibri" w:cs="Calibri"/>
          <w:i/>
          <w:iCs/>
        </w:rPr>
        <w:t>PHAs</w:t>
      </w:r>
      <w:proofErr w:type="spellEnd"/>
      <w:r w:rsidRPr="00A14D8A">
        <w:rPr>
          <w:rFonts w:ascii="Calibri" w:hAnsi="Calibri" w:cs="Calibri"/>
          <w:i/>
          <w:iCs/>
        </w:rPr>
        <w:t>…should be able to choose between conversion tools based on the Section 8 Project-Based Rental Assistance (</w:t>
      </w:r>
      <w:proofErr w:type="spellStart"/>
      <w:r w:rsidRPr="00A14D8A">
        <w:rPr>
          <w:rFonts w:ascii="Calibri" w:hAnsi="Calibri" w:cs="Calibri"/>
          <w:i/>
          <w:iCs/>
        </w:rPr>
        <w:t>PBRA</w:t>
      </w:r>
      <w:proofErr w:type="spellEnd"/>
      <w:r w:rsidRPr="00A14D8A">
        <w:rPr>
          <w:rFonts w:ascii="Calibri" w:hAnsi="Calibri" w:cs="Calibri"/>
          <w:i/>
          <w:iCs/>
        </w:rPr>
        <w:t>) and Project-Based Voucher (</w:t>
      </w:r>
      <w:proofErr w:type="spellStart"/>
      <w:r w:rsidRPr="00A14D8A">
        <w:rPr>
          <w:rFonts w:ascii="Calibri" w:hAnsi="Calibri" w:cs="Calibri"/>
          <w:i/>
          <w:iCs/>
        </w:rPr>
        <w:t>PBV</w:t>
      </w:r>
      <w:proofErr w:type="spellEnd"/>
      <w:r w:rsidRPr="00A14D8A">
        <w:rPr>
          <w:rFonts w:ascii="Calibri" w:hAnsi="Calibri" w:cs="Calibri"/>
          <w:i/>
          <w:iCs/>
        </w:rPr>
        <w:t>) models, respectively.” [National Association of Housing and Redevelopment Officials, letter dated 3/10/2010]</w:t>
      </w:r>
    </w:p>
    <w:p w:rsidR="00BA369D" w:rsidRPr="00C2756C" w:rsidRDefault="00BA369D" w:rsidP="00C84B16">
      <w:pPr>
        <w:spacing w:before="120" w:after="120"/>
        <w:ind w:left="360"/>
        <w:rPr>
          <w:rFonts w:ascii="Calibri" w:hAnsi="Calibri" w:cs="Calibri"/>
        </w:rPr>
      </w:pPr>
      <w:r w:rsidRPr="00C2756C">
        <w:rPr>
          <w:rFonts w:ascii="Calibri" w:hAnsi="Calibri" w:cs="Calibri"/>
          <w:b/>
          <w:bCs/>
        </w:rPr>
        <w:t xml:space="preserve">HOW HUD RESPONDED: </w:t>
      </w:r>
      <w:r w:rsidRPr="00C2756C">
        <w:rPr>
          <w:rFonts w:ascii="Calibri" w:hAnsi="Calibri" w:cs="Calibri"/>
        </w:rPr>
        <w:t>PETRA would authorize a new form of property-based contract (</w:t>
      </w:r>
      <w:proofErr w:type="spellStart"/>
      <w:r w:rsidRPr="00C2756C">
        <w:rPr>
          <w:rFonts w:ascii="Calibri" w:hAnsi="Calibri" w:cs="Calibri"/>
        </w:rPr>
        <w:t>PBC</w:t>
      </w:r>
      <w:proofErr w:type="spellEnd"/>
      <w:r w:rsidRPr="00C2756C">
        <w:rPr>
          <w:rFonts w:ascii="Calibri" w:hAnsi="Calibri" w:cs="Calibri"/>
        </w:rPr>
        <w:t>) under section 8(n) of the U.S. Housing Act of 1937 (modeled on the Section 8 Project-Based Rental Assistance program) and would authorize changes to the existing Project-Based Voucher (</w:t>
      </w:r>
      <w:proofErr w:type="spellStart"/>
      <w:r w:rsidRPr="00C2756C">
        <w:rPr>
          <w:rFonts w:ascii="Calibri" w:hAnsi="Calibri" w:cs="Calibri"/>
        </w:rPr>
        <w:t>PBV</w:t>
      </w:r>
      <w:proofErr w:type="spellEnd"/>
      <w:r w:rsidRPr="00C2756C">
        <w:rPr>
          <w:rFonts w:ascii="Calibri" w:hAnsi="Calibri" w:cs="Calibri"/>
        </w:rPr>
        <w:t xml:space="preserve">) statute, at </w:t>
      </w:r>
      <w:r>
        <w:rPr>
          <w:rFonts w:ascii="Calibri" w:hAnsi="Calibri" w:cs="Calibri"/>
        </w:rPr>
        <w:t>s</w:t>
      </w:r>
      <w:r w:rsidRPr="00C2756C">
        <w:rPr>
          <w:rFonts w:ascii="Calibri" w:hAnsi="Calibri" w:cs="Calibri"/>
        </w:rPr>
        <w:t xml:space="preserve">ection 8(o)(13). All properties would be eligible to convert to </w:t>
      </w:r>
      <w:proofErr w:type="spellStart"/>
      <w:r w:rsidRPr="00C2756C">
        <w:rPr>
          <w:rFonts w:ascii="Calibri" w:hAnsi="Calibri" w:cs="Calibri"/>
        </w:rPr>
        <w:t>PBC</w:t>
      </w:r>
      <w:proofErr w:type="spellEnd"/>
      <w:r w:rsidRPr="00C2756C">
        <w:rPr>
          <w:rFonts w:ascii="Calibri" w:hAnsi="Calibri" w:cs="Calibri"/>
        </w:rPr>
        <w:t xml:space="preserve"> assistance. Owners of properties that meet the criteria for doing so would in addition have the option of converting to </w:t>
      </w:r>
      <w:proofErr w:type="spellStart"/>
      <w:r w:rsidRPr="00C2756C">
        <w:rPr>
          <w:rFonts w:ascii="Calibri" w:hAnsi="Calibri" w:cs="Calibri"/>
        </w:rPr>
        <w:t>PBV</w:t>
      </w:r>
      <w:proofErr w:type="spellEnd"/>
      <w:r w:rsidRPr="00C2756C">
        <w:rPr>
          <w:rFonts w:ascii="Calibri" w:hAnsi="Calibri" w:cs="Calibri"/>
        </w:rPr>
        <w:t xml:space="preserve"> assistance.</w:t>
      </w:r>
    </w:p>
    <w:p w:rsidR="00BA369D" w:rsidRPr="00C2756C" w:rsidRDefault="00BA369D" w:rsidP="00C84B16">
      <w:pPr>
        <w:spacing w:before="120" w:after="120"/>
        <w:ind w:left="360"/>
        <w:rPr>
          <w:rFonts w:ascii="Calibri" w:hAnsi="Calibri" w:cs="Calibri"/>
        </w:rPr>
      </w:pPr>
      <w:proofErr w:type="spellStart"/>
      <w:r w:rsidRPr="00C2756C">
        <w:rPr>
          <w:rFonts w:ascii="Calibri" w:hAnsi="Calibri" w:cs="Calibri"/>
        </w:rPr>
        <w:t>PBV</w:t>
      </w:r>
      <w:proofErr w:type="spellEnd"/>
      <w:r w:rsidRPr="00C2756C">
        <w:rPr>
          <w:rFonts w:ascii="Calibri" w:hAnsi="Calibri" w:cs="Calibri"/>
        </w:rPr>
        <w:t xml:space="preserve">-eligible properties are those that are small (25 units or fewer) or mixed income. Mixed-income properties are generally those in which not more than the </w:t>
      </w:r>
      <w:proofErr w:type="gramStart"/>
      <w:r w:rsidRPr="00C2756C">
        <w:rPr>
          <w:rFonts w:ascii="Calibri" w:hAnsi="Calibri" w:cs="Calibri"/>
        </w:rPr>
        <w:t>greater</w:t>
      </w:r>
      <w:proofErr w:type="gramEnd"/>
      <w:r w:rsidRPr="00C2756C">
        <w:rPr>
          <w:rFonts w:ascii="Calibri" w:hAnsi="Calibri" w:cs="Calibri"/>
        </w:rPr>
        <w:t xml:space="preserve"> of 25 units or 25 percent of units in a property are assisted. There are </w:t>
      </w:r>
      <w:r w:rsidR="00DC5544">
        <w:rPr>
          <w:rFonts w:ascii="Calibri" w:hAnsi="Calibri" w:cs="Calibri"/>
        </w:rPr>
        <w:t>four</w:t>
      </w:r>
      <w:r w:rsidR="00DC5544" w:rsidRPr="00C2756C">
        <w:rPr>
          <w:rFonts w:ascii="Calibri" w:hAnsi="Calibri" w:cs="Calibri"/>
        </w:rPr>
        <w:t xml:space="preserve"> </w:t>
      </w:r>
      <w:r w:rsidRPr="00C2756C">
        <w:rPr>
          <w:rFonts w:ascii="Calibri" w:hAnsi="Calibri" w:cs="Calibri"/>
        </w:rPr>
        <w:t xml:space="preserve">types of converting properties that are exceptions to this general definition: properties located in </w:t>
      </w:r>
      <w:r w:rsidR="00DC5544">
        <w:rPr>
          <w:rFonts w:ascii="Calibri" w:hAnsi="Calibri" w:cs="Calibri"/>
        </w:rPr>
        <w:t xml:space="preserve">(1) </w:t>
      </w:r>
      <w:r w:rsidRPr="00C2756C">
        <w:rPr>
          <w:rFonts w:ascii="Calibri" w:hAnsi="Calibri" w:cs="Calibri"/>
        </w:rPr>
        <w:t xml:space="preserve">low-poverty areas </w:t>
      </w:r>
      <w:r w:rsidR="00DC5544">
        <w:rPr>
          <w:rFonts w:ascii="Calibri" w:hAnsi="Calibri" w:cs="Calibri"/>
        </w:rPr>
        <w:t>(poverty rate of 20 percent or lower) or (2)</w:t>
      </w:r>
      <w:r w:rsidRPr="00C2756C">
        <w:rPr>
          <w:rFonts w:ascii="Calibri" w:hAnsi="Calibri" w:cs="Calibri"/>
        </w:rPr>
        <w:t xml:space="preserve">in </w:t>
      </w:r>
      <w:r w:rsidR="00DC5544">
        <w:rPr>
          <w:rFonts w:ascii="Calibri" w:hAnsi="Calibri" w:cs="Calibri"/>
        </w:rPr>
        <w:t>areas where</w:t>
      </w:r>
      <w:r w:rsidR="00DC5544" w:rsidRPr="00C2756C">
        <w:rPr>
          <w:rFonts w:ascii="Calibri" w:hAnsi="Calibri" w:cs="Calibri"/>
        </w:rPr>
        <w:t xml:space="preserve"> </w:t>
      </w:r>
      <w:r w:rsidRPr="00C2756C">
        <w:rPr>
          <w:rFonts w:ascii="Calibri" w:hAnsi="Calibri" w:cs="Calibri"/>
        </w:rPr>
        <w:t>vouchers are difficult to use</w:t>
      </w:r>
      <w:r w:rsidR="00DC5544">
        <w:rPr>
          <w:rFonts w:ascii="Calibri" w:hAnsi="Calibri" w:cs="Calibri"/>
        </w:rPr>
        <w:t>, or</w:t>
      </w:r>
      <w:r w:rsidRPr="00C2756C">
        <w:rPr>
          <w:rFonts w:ascii="Calibri" w:hAnsi="Calibri" w:cs="Calibri"/>
        </w:rPr>
        <w:t xml:space="preserve"> properties that</w:t>
      </w:r>
      <w:r w:rsidR="00DC5544">
        <w:rPr>
          <w:rFonts w:ascii="Calibri" w:hAnsi="Calibri" w:cs="Calibri"/>
        </w:rPr>
        <w:t xml:space="preserve"> (3)</w:t>
      </w:r>
      <w:r w:rsidRPr="00C2756C">
        <w:rPr>
          <w:rFonts w:ascii="Calibri" w:hAnsi="Calibri" w:cs="Calibri"/>
        </w:rPr>
        <w:t xml:space="preserve"> assist elderly families or </w:t>
      </w:r>
      <w:r w:rsidR="00DC5544">
        <w:rPr>
          <w:rFonts w:ascii="Calibri" w:hAnsi="Calibri" w:cs="Calibri"/>
        </w:rPr>
        <w:t xml:space="preserve">(4) </w:t>
      </w:r>
      <w:r w:rsidRPr="00C2756C">
        <w:rPr>
          <w:rFonts w:ascii="Calibri" w:hAnsi="Calibri" w:cs="Calibri"/>
        </w:rPr>
        <w:t xml:space="preserve">families eligible for </w:t>
      </w:r>
      <w:r w:rsidR="00DC5544">
        <w:rPr>
          <w:rFonts w:ascii="Calibri" w:hAnsi="Calibri" w:cs="Calibri"/>
        </w:rPr>
        <w:t xml:space="preserve">available </w:t>
      </w:r>
      <w:r w:rsidRPr="00C2756C">
        <w:rPr>
          <w:rFonts w:ascii="Calibri" w:hAnsi="Calibri" w:cs="Calibri"/>
        </w:rPr>
        <w:t xml:space="preserve">comprehensive social services. For these types of converting properties, up to and including 40 percent of the units could be assisted under the </w:t>
      </w:r>
      <w:proofErr w:type="spellStart"/>
      <w:r w:rsidRPr="00C2756C">
        <w:rPr>
          <w:rFonts w:ascii="Calibri" w:hAnsi="Calibri" w:cs="Calibri"/>
        </w:rPr>
        <w:t>PBV</w:t>
      </w:r>
      <w:proofErr w:type="spellEnd"/>
      <w:r w:rsidRPr="00C2756C">
        <w:rPr>
          <w:rFonts w:ascii="Calibri" w:hAnsi="Calibri" w:cs="Calibri"/>
        </w:rPr>
        <w:t xml:space="preserve"> program.</w:t>
      </w:r>
    </w:p>
    <w:p w:rsidR="00BA369D" w:rsidRPr="00D44236" w:rsidRDefault="00BA369D" w:rsidP="00047566">
      <w:pPr>
        <w:rPr>
          <w:rStyle w:val="IntenseReference"/>
          <w:rFonts w:ascii="Calibri" w:hAnsi="Calibri" w:cs="Calibri"/>
          <w:b w:val="0"/>
          <w:bCs w:val="0"/>
        </w:rPr>
      </w:pPr>
      <w:r>
        <w:rPr>
          <w:rStyle w:val="IntenseReference"/>
          <w:rFonts w:ascii="Calibri" w:hAnsi="Calibri" w:cs="Calibri"/>
        </w:rPr>
        <w:t>Establish a Predictable, Reliable Subsidy Stream</w:t>
      </w:r>
    </w:p>
    <w:p w:rsidR="00BA369D" w:rsidRPr="00A14D8A" w:rsidRDefault="00BA369D" w:rsidP="00580615">
      <w:pPr>
        <w:pStyle w:val="ListParagraph"/>
        <w:numPr>
          <w:ilvl w:val="0"/>
          <w:numId w:val="1"/>
        </w:numPr>
        <w:spacing w:before="120" w:after="120"/>
        <w:rPr>
          <w:rFonts w:ascii="Calibri" w:hAnsi="Calibri" w:cs="Calibri"/>
        </w:rPr>
      </w:pPr>
      <w:r w:rsidRPr="00A14D8A">
        <w:rPr>
          <w:rFonts w:ascii="Calibri" w:hAnsi="Calibri" w:cs="Calibri"/>
          <w:i/>
          <w:iCs/>
        </w:rPr>
        <w:t>“Lack of programmatic consistency already complicates the effort of owners trying to maintain and improve [affordable] housing. Shifting administration of Section 8 contracts to housing authorities under a project-based voucher model would create more unpredictability.” [National Housing Trust, letter dated 1/27/2010]</w:t>
      </w:r>
    </w:p>
    <w:p w:rsidR="00BA369D" w:rsidRPr="00A14D8A" w:rsidRDefault="00BA369D" w:rsidP="00047566">
      <w:pPr>
        <w:pStyle w:val="ListParagraph"/>
        <w:numPr>
          <w:ilvl w:val="0"/>
          <w:numId w:val="1"/>
        </w:numPr>
        <w:spacing w:before="120" w:after="120"/>
        <w:rPr>
          <w:rFonts w:ascii="Calibri" w:hAnsi="Calibri" w:cs="Calibri"/>
          <w:i/>
          <w:iCs/>
        </w:rPr>
      </w:pPr>
      <w:proofErr w:type="spellStart"/>
      <w:r w:rsidRPr="00A14D8A">
        <w:rPr>
          <w:rFonts w:ascii="Calibri" w:hAnsi="Calibri" w:cs="Calibri"/>
          <w:i/>
          <w:iCs/>
        </w:rPr>
        <w:t>PHADA</w:t>
      </w:r>
      <w:proofErr w:type="spellEnd"/>
      <w:r w:rsidRPr="00A14D8A">
        <w:rPr>
          <w:rFonts w:ascii="Calibri" w:hAnsi="Calibri" w:cs="Calibri"/>
          <w:i/>
          <w:iCs/>
        </w:rPr>
        <w:t xml:space="preserve"> is concerned that…</w:t>
      </w:r>
      <w:proofErr w:type="spellStart"/>
      <w:r w:rsidRPr="00A14D8A">
        <w:rPr>
          <w:rFonts w:ascii="Calibri" w:hAnsi="Calibri" w:cs="Calibri"/>
          <w:i/>
          <w:iCs/>
        </w:rPr>
        <w:t>TRA</w:t>
      </w:r>
      <w:proofErr w:type="spellEnd"/>
      <w:r w:rsidRPr="00A14D8A">
        <w:rPr>
          <w:rFonts w:ascii="Calibri" w:hAnsi="Calibri" w:cs="Calibri"/>
          <w:i/>
          <w:iCs/>
        </w:rPr>
        <w:t xml:space="preserve"> will be a separate section in statute (8(n)), making it easier for Congress to separate it for funding purposes and [to prorate] it over time.” [Public Housing Authorities Directors Association, 4/21/2010]</w:t>
      </w:r>
    </w:p>
    <w:p w:rsidR="00BA369D" w:rsidRDefault="00BA369D" w:rsidP="007F3B7C">
      <w:pPr>
        <w:numPr>
          <w:ilvl w:val="0"/>
          <w:numId w:val="1"/>
        </w:numPr>
        <w:spacing w:before="120" w:after="120"/>
        <w:rPr>
          <w:i/>
          <w:iCs/>
        </w:rPr>
      </w:pPr>
      <w:r w:rsidRPr="002E4FF8">
        <w:rPr>
          <w:i/>
          <w:iCs/>
        </w:rPr>
        <w:lastRenderedPageBreak/>
        <w:t>“We urge you to focus on the need to deliver converted properties into the kind of secure, sustainable financial and operating environment that will ensure the longevity of this critically important asset.”</w:t>
      </w:r>
      <w:r>
        <w:rPr>
          <w:i/>
          <w:iCs/>
        </w:rPr>
        <w:t xml:space="preserve"> </w:t>
      </w:r>
      <w:r w:rsidRPr="00A14D8A">
        <w:rPr>
          <w:rFonts w:ascii="Calibri" w:hAnsi="Calibri" w:cs="Calibri"/>
          <w:i/>
          <w:iCs/>
        </w:rPr>
        <w:t>[National Association of Housing and Redevelopm</w:t>
      </w:r>
      <w:r>
        <w:rPr>
          <w:rFonts w:ascii="Calibri" w:hAnsi="Calibri" w:cs="Calibri"/>
          <w:i/>
          <w:iCs/>
        </w:rPr>
        <w:t>ent Officials, letter dated 5/4</w:t>
      </w:r>
      <w:r w:rsidRPr="00A14D8A">
        <w:rPr>
          <w:rFonts w:ascii="Calibri" w:hAnsi="Calibri" w:cs="Calibri"/>
          <w:i/>
          <w:iCs/>
        </w:rPr>
        <w:t>/2010]</w:t>
      </w:r>
    </w:p>
    <w:p w:rsidR="00BA369D" w:rsidRPr="00C93A63" w:rsidRDefault="00BA369D" w:rsidP="000109C7">
      <w:pPr>
        <w:spacing w:before="120" w:after="120"/>
        <w:ind w:left="360"/>
        <w:rPr>
          <w:rFonts w:ascii="Calibri" w:hAnsi="Calibri" w:cs="Calibri"/>
        </w:rPr>
      </w:pPr>
      <w:r w:rsidRPr="00C93A63">
        <w:rPr>
          <w:rFonts w:ascii="Calibri" w:hAnsi="Calibri" w:cs="Calibri"/>
          <w:b/>
          <w:bCs/>
        </w:rPr>
        <w:t xml:space="preserve">HOW HUD RESPONDED: </w:t>
      </w:r>
      <w:r w:rsidRPr="004B5048">
        <w:rPr>
          <w:rFonts w:ascii="Calibri" w:hAnsi="Calibri" w:cs="Calibri"/>
        </w:rPr>
        <w:t xml:space="preserve">As explained above, owners will have the option of converting to assistance under </w:t>
      </w:r>
      <w:r w:rsidR="001B7783">
        <w:rPr>
          <w:rFonts w:ascii="Calibri" w:hAnsi="Calibri" w:cs="Calibri"/>
        </w:rPr>
        <w:t xml:space="preserve">a new section </w:t>
      </w:r>
      <w:r w:rsidRPr="004B5048">
        <w:rPr>
          <w:rFonts w:ascii="Calibri" w:hAnsi="Calibri" w:cs="Calibri"/>
        </w:rPr>
        <w:t xml:space="preserve">8(n) </w:t>
      </w:r>
      <w:r w:rsidR="001B7783">
        <w:rPr>
          <w:rFonts w:ascii="Calibri" w:hAnsi="Calibri" w:cs="Calibri"/>
        </w:rPr>
        <w:t xml:space="preserve">for </w:t>
      </w:r>
      <w:proofErr w:type="spellStart"/>
      <w:r w:rsidR="001B7783">
        <w:rPr>
          <w:rFonts w:ascii="Calibri" w:hAnsi="Calibri" w:cs="Calibri"/>
        </w:rPr>
        <w:t>PBC</w:t>
      </w:r>
      <w:proofErr w:type="spellEnd"/>
      <w:r w:rsidR="001B7783">
        <w:rPr>
          <w:rFonts w:ascii="Calibri" w:hAnsi="Calibri" w:cs="Calibri"/>
        </w:rPr>
        <w:t xml:space="preserve"> contracts </w:t>
      </w:r>
      <w:r w:rsidRPr="004B5048">
        <w:rPr>
          <w:rFonts w:ascii="Calibri" w:hAnsi="Calibri" w:cs="Calibri"/>
        </w:rPr>
        <w:t xml:space="preserve">or, for properties that meet the criteria, </w:t>
      </w:r>
      <w:r w:rsidR="001B7783">
        <w:rPr>
          <w:rFonts w:ascii="Calibri" w:hAnsi="Calibri" w:cs="Calibri"/>
        </w:rPr>
        <w:t xml:space="preserve">a revised section </w:t>
      </w:r>
      <w:r w:rsidRPr="004B5048">
        <w:rPr>
          <w:rFonts w:ascii="Calibri" w:hAnsi="Calibri" w:cs="Calibri"/>
        </w:rPr>
        <w:t>8(o)(13)</w:t>
      </w:r>
      <w:r w:rsidR="001B7783">
        <w:rPr>
          <w:rFonts w:ascii="Calibri" w:hAnsi="Calibri" w:cs="Calibri"/>
        </w:rPr>
        <w:t xml:space="preserve"> for </w:t>
      </w:r>
      <w:proofErr w:type="spellStart"/>
      <w:r w:rsidR="001B7783">
        <w:rPr>
          <w:rFonts w:ascii="Calibri" w:hAnsi="Calibri" w:cs="Calibri"/>
        </w:rPr>
        <w:t>PBV</w:t>
      </w:r>
      <w:proofErr w:type="spellEnd"/>
      <w:r w:rsidR="001B7783">
        <w:rPr>
          <w:rFonts w:ascii="Calibri" w:hAnsi="Calibri" w:cs="Calibri"/>
        </w:rPr>
        <w:t xml:space="preserve"> contracts</w:t>
      </w:r>
      <w:r w:rsidRPr="004B5048">
        <w:rPr>
          <w:rFonts w:ascii="Calibri" w:hAnsi="Calibri" w:cs="Calibri"/>
        </w:rPr>
        <w:t xml:space="preserve">. </w:t>
      </w:r>
      <w:r w:rsidRPr="00C93A63">
        <w:rPr>
          <w:rFonts w:ascii="Calibri" w:hAnsi="Calibri" w:cs="Calibri"/>
        </w:rPr>
        <w:t>Properties that convert under 8(n) will enter into a contract directly with HUD that is intended to place obligations on each party to the contract, including, with respect to HUD, the obligation to provide subsidy consistent with the initial rents and subsequent rent adjustments specified in the contract. HUD anticipates that annual funding for these contracts will be part of the Project-Based Rental Assistance (</w:t>
      </w:r>
      <w:proofErr w:type="spellStart"/>
      <w:r w:rsidRPr="00C93A63">
        <w:rPr>
          <w:rFonts w:ascii="Calibri" w:hAnsi="Calibri" w:cs="Calibri"/>
        </w:rPr>
        <w:t>PBRA</w:t>
      </w:r>
      <w:proofErr w:type="spellEnd"/>
      <w:r w:rsidRPr="00C93A63">
        <w:rPr>
          <w:rFonts w:ascii="Calibri" w:hAnsi="Calibri" w:cs="Calibri"/>
        </w:rPr>
        <w:t>) account that now funds multifamily project-based section 8 contracts</w:t>
      </w:r>
      <w:r w:rsidR="001B7783">
        <w:rPr>
          <w:rFonts w:ascii="Calibri" w:hAnsi="Calibri" w:cs="Calibri"/>
        </w:rPr>
        <w:t xml:space="preserve"> that are subject to annual appropriations. (About 80 percent of project-based section 8 contracts are now funded annually</w:t>
      </w:r>
      <w:r w:rsidRPr="00C93A63">
        <w:rPr>
          <w:rFonts w:ascii="Calibri" w:hAnsi="Calibri" w:cs="Calibri"/>
        </w:rPr>
        <w:t>.</w:t>
      </w:r>
      <w:r w:rsidR="001B7783">
        <w:rPr>
          <w:rFonts w:ascii="Calibri" w:hAnsi="Calibri" w:cs="Calibri"/>
        </w:rPr>
        <w:t xml:space="preserve">) </w:t>
      </w:r>
      <w:r>
        <w:rPr>
          <w:rFonts w:ascii="Calibri" w:hAnsi="Calibri" w:cs="Calibri"/>
        </w:rPr>
        <w:t xml:space="preserve"> PETRA also provides that, for properties assisted under 8(o</w:t>
      </w:r>
      <w:proofErr w:type="gramStart"/>
      <w:r>
        <w:rPr>
          <w:rFonts w:ascii="Calibri" w:hAnsi="Calibri" w:cs="Calibri"/>
        </w:rPr>
        <w:t>)(</w:t>
      </w:r>
      <w:proofErr w:type="gramEnd"/>
      <w:r>
        <w:rPr>
          <w:rFonts w:ascii="Calibri" w:hAnsi="Calibri" w:cs="Calibri"/>
        </w:rPr>
        <w:t>13), funding of contracts will take precedence in the event of proration.</w:t>
      </w:r>
    </w:p>
    <w:p w:rsidR="00BA369D" w:rsidRPr="009019FA" w:rsidRDefault="00BA369D" w:rsidP="000109C7">
      <w:pPr>
        <w:rPr>
          <w:rStyle w:val="IntenseReference"/>
          <w:rFonts w:ascii="Calibri" w:hAnsi="Calibri" w:cs="Calibri"/>
        </w:rPr>
      </w:pPr>
      <w:r>
        <w:rPr>
          <w:rStyle w:val="IntenseReference"/>
          <w:rFonts w:ascii="Calibri" w:hAnsi="Calibri" w:cs="Calibri"/>
        </w:rPr>
        <w:t>Set Workable Contract Terms, Rent Policies</w:t>
      </w:r>
    </w:p>
    <w:p w:rsidR="00BA369D" w:rsidRPr="00A14D8A" w:rsidRDefault="00BA369D" w:rsidP="000109C7">
      <w:pPr>
        <w:pStyle w:val="ListParagraph"/>
        <w:numPr>
          <w:ilvl w:val="0"/>
          <w:numId w:val="1"/>
        </w:numPr>
        <w:spacing w:before="120" w:after="120"/>
        <w:rPr>
          <w:rFonts w:ascii="Calibri" w:hAnsi="Calibri" w:cs="Calibri"/>
          <w:i/>
          <w:iCs/>
        </w:rPr>
      </w:pPr>
      <w:r w:rsidRPr="00A14D8A">
        <w:rPr>
          <w:rFonts w:ascii="Calibri" w:hAnsi="Calibri" w:cs="Calibri"/>
          <w:i/>
          <w:iCs/>
        </w:rPr>
        <w:t>“For existing properties and any new properties that require private debt, a rental subsidy program should be tied to the project and have a 20-year term.” [Housing Partnership Network, Stewards of Affordable Housing for the Future, letter dated 2/17/2010]</w:t>
      </w:r>
    </w:p>
    <w:p w:rsidR="00BA369D" w:rsidRPr="00144D43" w:rsidRDefault="00BA369D" w:rsidP="000109C7">
      <w:pPr>
        <w:spacing w:before="120" w:after="120"/>
        <w:ind w:left="360"/>
        <w:rPr>
          <w:rFonts w:ascii="Calibri" w:hAnsi="Calibri" w:cs="Calibri"/>
        </w:rPr>
      </w:pPr>
      <w:r w:rsidRPr="00144D43">
        <w:rPr>
          <w:rFonts w:ascii="Calibri" w:hAnsi="Calibri" w:cs="Calibri"/>
          <w:b/>
          <w:bCs/>
        </w:rPr>
        <w:t xml:space="preserve">HOW HUD RESPONDED: </w:t>
      </w:r>
      <w:r w:rsidRPr="00144D43">
        <w:rPr>
          <w:rFonts w:ascii="Calibri" w:hAnsi="Calibri" w:cs="Calibri"/>
        </w:rPr>
        <w:t>Under both the project-based Section 8 program established in PETRA and through the changes to the project-based voucher statute that PETRA would authorize, contract terms may be 20 years; each type of contract will be property-based. For converted public housing properties, an initial term of 20 years would be required.</w:t>
      </w:r>
      <w:r w:rsidR="00844089">
        <w:rPr>
          <w:rFonts w:ascii="Calibri" w:hAnsi="Calibri" w:cs="Calibri"/>
        </w:rPr>
        <w:t xml:space="preserve">  Contract extensions of up to 20 years also will be authorized. </w:t>
      </w:r>
    </w:p>
    <w:p w:rsidR="00BA369D" w:rsidRPr="00A14D8A" w:rsidRDefault="00BA369D" w:rsidP="004B5048">
      <w:pPr>
        <w:pStyle w:val="ListParagraph"/>
        <w:numPr>
          <w:ilvl w:val="0"/>
          <w:numId w:val="1"/>
        </w:numPr>
        <w:spacing w:before="120" w:after="120"/>
        <w:rPr>
          <w:rFonts w:ascii="Calibri" w:hAnsi="Calibri" w:cs="Calibri"/>
          <w:i/>
          <w:iCs/>
        </w:rPr>
      </w:pPr>
      <w:r w:rsidRPr="00A14D8A">
        <w:rPr>
          <w:rFonts w:ascii="Calibri" w:hAnsi="Calibri" w:cs="Calibri"/>
          <w:i/>
          <w:iCs/>
        </w:rPr>
        <w:t>“Market rents are the key to attracting private capital financing for any affordable housing based production or preservation system.” [National Housing Trust, letter dated 1/27/2010]</w:t>
      </w:r>
    </w:p>
    <w:p w:rsidR="00BA369D" w:rsidRPr="00A14D8A" w:rsidRDefault="00BA369D" w:rsidP="004B5048">
      <w:pPr>
        <w:pStyle w:val="ListParagraph"/>
        <w:numPr>
          <w:ilvl w:val="0"/>
          <w:numId w:val="1"/>
        </w:numPr>
        <w:spacing w:before="120" w:after="120"/>
        <w:rPr>
          <w:rFonts w:ascii="Calibri" w:hAnsi="Calibri" w:cs="Calibri"/>
          <w:i/>
          <w:iCs/>
        </w:rPr>
      </w:pPr>
      <w:r w:rsidRPr="00A14D8A">
        <w:rPr>
          <w:rFonts w:ascii="Calibri" w:hAnsi="Calibri" w:cs="Calibri"/>
          <w:i/>
          <w:iCs/>
        </w:rPr>
        <w:t>“Moving HUD’s programs to operate off comparable market rents and to participate in private debt and equity markets [will create] the right framework for market discipline. The private investors who [put] their money at risk in these properties will insist that the owners operate the properties in a financially responsible manner.” [Stewards of Affordable Housing for the Future, letter dated 5/8/2010]</w:t>
      </w:r>
    </w:p>
    <w:p w:rsidR="00BA369D" w:rsidRPr="00144D43" w:rsidRDefault="00BA369D" w:rsidP="00144D43">
      <w:pPr>
        <w:spacing w:before="120" w:after="120"/>
        <w:ind w:left="360"/>
        <w:rPr>
          <w:rFonts w:ascii="Calibri" w:hAnsi="Calibri" w:cs="Calibri"/>
        </w:rPr>
      </w:pPr>
      <w:r w:rsidRPr="00144D43">
        <w:rPr>
          <w:rFonts w:ascii="Calibri" w:hAnsi="Calibri" w:cs="Calibri"/>
          <w:b/>
          <w:bCs/>
        </w:rPr>
        <w:t xml:space="preserve">HOW HUD RESPONDED: </w:t>
      </w:r>
      <w:r w:rsidRPr="00144D43">
        <w:rPr>
          <w:rFonts w:ascii="Calibri" w:hAnsi="Calibri" w:cs="Calibri"/>
        </w:rPr>
        <w:t>For both public housing and multifamily housing, HUD would be authorized to approve initial contract rents on converting properties up to 110 percent of the Fair Market Rent (</w:t>
      </w:r>
      <w:proofErr w:type="spellStart"/>
      <w:r w:rsidRPr="00144D43">
        <w:rPr>
          <w:rFonts w:ascii="Calibri" w:hAnsi="Calibri" w:cs="Calibri"/>
        </w:rPr>
        <w:t>FMR</w:t>
      </w:r>
      <w:proofErr w:type="spellEnd"/>
      <w:r w:rsidRPr="00144D43">
        <w:rPr>
          <w:rFonts w:ascii="Calibri" w:hAnsi="Calibri" w:cs="Calibri"/>
        </w:rPr>
        <w:t>) for the area</w:t>
      </w:r>
      <w:r w:rsidR="00844089">
        <w:rPr>
          <w:rFonts w:ascii="Calibri" w:hAnsi="Calibri" w:cs="Calibri"/>
        </w:rPr>
        <w:t xml:space="preserve">, and </w:t>
      </w:r>
      <w:r w:rsidRPr="00144D43">
        <w:rPr>
          <w:rFonts w:ascii="Calibri" w:hAnsi="Calibri" w:cs="Calibri"/>
        </w:rPr>
        <w:t xml:space="preserve">the Secretary would be authorized to approve market rents above 110 percent of the </w:t>
      </w:r>
      <w:proofErr w:type="spellStart"/>
      <w:r w:rsidRPr="00144D43">
        <w:rPr>
          <w:rFonts w:ascii="Calibri" w:hAnsi="Calibri" w:cs="Calibri"/>
        </w:rPr>
        <w:t>FMR</w:t>
      </w:r>
      <w:proofErr w:type="spellEnd"/>
      <w:r w:rsidR="00844089">
        <w:rPr>
          <w:rFonts w:ascii="Calibri" w:hAnsi="Calibri" w:cs="Calibri"/>
        </w:rPr>
        <w:t>.</w:t>
      </w:r>
      <w:r w:rsidRPr="00144D43">
        <w:rPr>
          <w:rFonts w:ascii="Calibri" w:hAnsi="Calibri" w:cs="Calibri"/>
        </w:rPr>
        <w:t xml:space="preserve"> With respect to </w:t>
      </w:r>
      <w:r w:rsidRPr="00144D43">
        <w:rPr>
          <w:rFonts w:ascii="Calibri" w:hAnsi="Calibri" w:cs="Calibri"/>
          <w:i/>
          <w:iCs/>
        </w:rPr>
        <w:t>market rents</w:t>
      </w:r>
      <w:r w:rsidRPr="00144D43">
        <w:rPr>
          <w:rFonts w:ascii="Calibri" w:hAnsi="Calibri" w:cs="Calibri"/>
        </w:rPr>
        <w:t xml:space="preserve">, therefore, PETRA </w:t>
      </w:r>
      <w:r w:rsidRPr="00144D43">
        <w:rPr>
          <w:rFonts w:ascii="Calibri" w:hAnsi="Calibri" w:cs="Calibri"/>
          <w:i/>
          <w:iCs/>
        </w:rPr>
        <w:t>establishes</w:t>
      </w:r>
      <w:r w:rsidRPr="00144D43">
        <w:rPr>
          <w:rFonts w:ascii="Calibri" w:hAnsi="Calibri" w:cs="Calibri"/>
        </w:rPr>
        <w:t xml:space="preserve"> </w:t>
      </w:r>
      <w:r w:rsidRPr="00144D43">
        <w:rPr>
          <w:rFonts w:ascii="Calibri" w:hAnsi="Calibri" w:cs="Calibri"/>
          <w:i/>
          <w:iCs/>
        </w:rPr>
        <w:t xml:space="preserve">no </w:t>
      </w:r>
      <w:r w:rsidR="00844089">
        <w:rPr>
          <w:rFonts w:ascii="Calibri" w:hAnsi="Calibri" w:cs="Calibri"/>
          <w:i/>
          <w:iCs/>
        </w:rPr>
        <w:t xml:space="preserve">hard </w:t>
      </w:r>
      <w:r w:rsidRPr="00144D43">
        <w:rPr>
          <w:rFonts w:ascii="Calibri" w:hAnsi="Calibri" w:cs="Calibri"/>
          <w:i/>
          <w:iCs/>
        </w:rPr>
        <w:t>cap</w:t>
      </w:r>
      <w:r w:rsidRPr="00144D43">
        <w:rPr>
          <w:rFonts w:ascii="Calibri" w:hAnsi="Calibri" w:cs="Calibri"/>
        </w:rPr>
        <w:t xml:space="preserve"> for properties converting under either option, though the Secretary’s approval is required for market rents above 110 percent of the </w:t>
      </w:r>
      <w:proofErr w:type="spellStart"/>
      <w:r w:rsidRPr="00144D43">
        <w:rPr>
          <w:rFonts w:ascii="Calibri" w:hAnsi="Calibri" w:cs="Calibri"/>
        </w:rPr>
        <w:t>FMR</w:t>
      </w:r>
      <w:proofErr w:type="spellEnd"/>
      <w:r w:rsidRPr="00144D43">
        <w:rPr>
          <w:rFonts w:ascii="Calibri" w:hAnsi="Calibri" w:cs="Calibri"/>
        </w:rPr>
        <w:t xml:space="preserve"> — and the properties must be designated “preservation worthy” for the Secretary to grant such approval.</w:t>
      </w:r>
    </w:p>
    <w:p w:rsidR="00BA369D" w:rsidRPr="00144D43" w:rsidRDefault="00BA369D" w:rsidP="00144D43">
      <w:pPr>
        <w:spacing w:before="120" w:after="120"/>
        <w:ind w:left="360"/>
        <w:rPr>
          <w:rFonts w:ascii="Calibri" w:hAnsi="Calibri" w:cs="Calibri"/>
        </w:rPr>
      </w:pPr>
      <w:r w:rsidRPr="00144D43">
        <w:rPr>
          <w:rFonts w:ascii="Calibri" w:hAnsi="Calibri" w:cs="Calibri"/>
        </w:rPr>
        <w:lastRenderedPageBreak/>
        <w:t xml:space="preserve">The Secretary is also authorized to approve initial rents above market, but only for </w:t>
      </w:r>
      <w:proofErr w:type="spellStart"/>
      <w:r w:rsidRPr="00144D43">
        <w:rPr>
          <w:rFonts w:ascii="Calibri" w:hAnsi="Calibri" w:cs="Calibri"/>
        </w:rPr>
        <w:t>PBC</w:t>
      </w:r>
      <w:proofErr w:type="spellEnd"/>
      <w:r w:rsidRPr="00144D43">
        <w:rPr>
          <w:rFonts w:ascii="Calibri" w:hAnsi="Calibri" w:cs="Calibri"/>
        </w:rPr>
        <w:t xml:space="preserve">-assisted properties. Again, a property must be deemed preservation worthy in order to qualify for such an “exception rent.” Exceptions rents are hard capped at the </w:t>
      </w:r>
      <w:proofErr w:type="gramStart"/>
      <w:r w:rsidRPr="00144D43">
        <w:rPr>
          <w:rFonts w:ascii="Calibri" w:hAnsi="Calibri" w:cs="Calibri"/>
        </w:rPr>
        <w:t>greater</w:t>
      </w:r>
      <w:proofErr w:type="gramEnd"/>
      <w:r w:rsidRPr="00144D43">
        <w:rPr>
          <w:rFonts w:ascii="Calibri" w:hAnsi="Calibri" w:cs="Calibri"/>
        </w:rPr>
        <w:t xml:space="preserve"> of 110 percent of the </w:t>
      </w:r>
      <w:proofErr w:type="spellStart"/>
      <w:r w:rsidRPr="00144D43">
        <w:rPr>
          <w:rFonts w:ascii="Calibri" w:hAnsi="Calibri" w:cs="Calibri"/>
        </w:rPr>
        <w:t>FMR</w:t>
      </w:r>
      <w:proofErr w:type="spellEnd"/>
      <w:r w:rsidRPr="00144D43">
        <w:rPr>
          <w:rFonts w:ascii="Calibri" w:hAnsi="Calibri" w:cs="Calibri"/>
        </w:rPr>
        <w:t xml:space="preserve"> or 120 percent of comparable market rents — i.e., the Secretary has no authority to approve an exception rent above these levels. </w:t>
      </w:r>
      <w:proofErr w:type="spellStart"/>
      <w:r w:rsidRPr="00144D43">
        <w:rPr>
          <w:rFonts w:ascii="Calibri" w:hAnsi="Calibri" w:cs="Calibri"/>
        </w:rPr>
        <w:t>PBV</w:t>
      </w:r>
      <w:proofErr w:type="spellEnd"/>
      <w:r w:rsidRPr="00144D43">
        <w:rPr>
          <w:rFonts w:ascii="Calibri" w:hAnsi="Calibri" w:cs="Calibri"/>
        </w:rPr>
        <w:t xml:space="preserve">-assisted properties are ineligible for </w:t>
      </w:r>
      <w:r w:rsidR="006773A1">
        <w:rPr>
          <w:rFonts w:ascii="Calibri" w:hAnsi="Calibri" w:cs="Calibri"/>
        </w:rPr>
        <w:t xml:space="preserve">above-market </w:t>
      </w:r>
      <w:r w:rsidRPr="00144D43">
        <w:rPr>
          <w:rFonts w:ascii="Calibri" w:hAnsi="Calibri" w:cs="Calibri"/>
        </w:rPr>
        <w:t>exception rents.</w:t>
      </w:r>
    </w:p>
    <w:p w:rsidR="00BA369D" w:rsidRPr="00A14D8A" w:rsidRDefault="00BA369D" w:rsidP="000109C7">
      <w:pPr>
        <w:pStyle w:val="ListParagraph"/>
        <w:numPr>
          <w:ilvl w:val="0"/>
          <w:numId w:val="1"/>
        </w:numPr>
        <w:spacing w:before="120" w:after="120"/>
        <w:rPr>
          <w:rFonts w:ascii="Calibri" w:hAnsi="Calibri" w:cs="Calibri"/>
          <w:i/>
          <w:iCs/>
        </w:rPr>
      </w:pPr>
      <w:r w:rsidRPr="00A14D8A">
        <w:rPr>
          <w:rFonts w:ascii="Calibri" w:hAnsi="Calibri" w:cs="Calibri"/>
          <w:i/>
          <w:iCs/>
        </w:rPr>
        <w:t>“We recommend some form of annual inflation adjustment…with a five-year reset.” [Housing Partnership Network, Stewards of Affordable Housing for the Future, letter dated 2/17/2010]</w:t>
      </w:r>
    </w:p>
    <w:p w:rsidR="00BA369D" w:rsidRPr="00144D43" w:rsidRDefault="00BA369D" w:rsidP="000109C7">
      <w:pPr>
        <w:spacing w:before="120" w:after="120"/>
        <w:ind w:left="360"/>
        <w:rPr>
          <w:rFonts w:ascii="Calibri" w:hAnsi="Calibri" w:cs="Calibri"/>
        </w:rPr>
      </w:pPr>
      <w:r w:rsidRPr="00144D43">
        <w:rPr>
          <w:rFonts w:ascii="Calibri" w:hAnsi="Calibri" w:cs="Calibri"/>
          <w:b/>
          <w:bCs/>
        </w:rPr>
        <w:t xml:space="preserve">HOW HUD RESPONDED: </w:t>
      </w:r>
      <w:r w:rsidRPr="00144D43">
        <w:rPr>
          <w:rFonts w:ascii="Calibri" w:hAnsi="Calibri" w:cs="Calibri"/>
        </w:rPr>
        <w:t xml:space="preserve">PETRA specifies that annual rent adjustments for </w:t>
      </w:r>
      <w:proofErr w:type="spellStart"/>
      <w:r w:rsidRPr="00144D43">
        <w:rPr>
          <w:rFonts w:ascii="Calibri" w:hAnsi="Calibri" w:cs="Calibri"/>
        </w:rPr>
        <w:t>PBC</w:t>
      </w:r>
      <w:proofErr w:type="spellEnd"/>
      <w:r w:rsidRPr="00144D43">
        <w:rPr>
          <w:rFonts w:ascii="Calibri" w:hAnsi="Calibri" w:cs="Calibri"/>
        </w:rPr>
        <w:t xml:space="preserve">-assisted properties will be based on a multifamily market rent index. For </w:t>
      </w:r>
      <w:proofErr w:type="spellStart"/>
      <w:r w:rsidRPr="00144D43">
        <w:rPr>
          <w:rFonts w:ascii="Calibri" w:hAnsi="Calibri" w:cs="Calibri"/>
        </w:rPr>
        <w:t>PBV</w:t>
      </w:r>
      <w:proofErr w:type="spellEnd"/>
      <w:r w:rsidRPr="00144D43">
        <w:rPr>
          <w:rFonts w:ascii="Calibri" w:hAnsi="Calibri" w:cs="Calibri"/>
        </w:rPr>
        <w:t>-assisted properties, the Secretary would have the discretion to use the same index for annual rent adjustments. For properties whose annual rent adjustments are based on this index, contract rents shall be re-benchmarked to market at least every 5 years.</w:t>
      </w:r>
    </w:p>
    <w:p w:rsidR="00BA369D" w:rsidRPr="009019FA" w:rsidRDefault="00BA369D" w:rsidP="00F35244">
      <w:pPr>
        <w:rPr>
          <w:rStyle w:val="IntenseReference"/>
          <w:rFonts w:ascii="Calibri" w:hAnsi="Calibri" w:cs="Calibri"/>
        </w:rPr>
      </w:pPr>
      <w:r>
        <w:rPr>
          <w:rStyle w:val="IntenseReference"/>
          <w:rFonts w:ascii="Calibri" w:hAnsi="Calibri" w:cs="Calibri"/>
        </w:rPr>
        <w:t>Assure Public Ownership, Public Control</w:t>
      </w:r>
    </w:p>
    <w:p w:rsidR="00BA369D" w:rsidRPr="00F35244" w:rsidRDefault="00BA369D" w:rsidP="00F35244">
      <w:pPr>
        <w:pStyle w:val="ListParagraph"/>
        <w:numPr>
          <w:ilvl w:val="0"/>
          <w:numId w:val="1"/>
        </w:numPr>
        <w:spacing w:before="120" w:after="120"/>
        <w:rPr>
          <w:rFonts w:ascii="Calibri" w:hAnsi="Calibri" w:cs="Calibri"/>
        </w:rPr>
      </w:pPr>
      <w:r w:rsidRPr="00A14D8A">
        <w:rPr>
          <w:rFonts w:ascii="Calibri" w:hAnsi="Calibri" w:cs="Calibri"/>
          <w:i/>
          <w:iCs/>
        </w:rPr>
        <w:t>“[Keep] the housing units ‘publicly owned.’” [George Moses, letter dated 2/15/2010]</w:t>
      </w:r>
    </w:p>
    <w:p w:rsidR="00BA369D" w:rsidRPr="00A14D8A" w:rsidRDefault="00BA369D" w:rsidP="00F35244">
      <w:pPr>
        <w:pStyle w:val="ListParagraph"/>
        <w:numPr>
          <w:ilvl w:val="0"/>
          <w:numId w:val="1"/>
        </w:numPr>
        <w:spacing w:before="120" w:after="120"/>
        <w:rPr>
          <w:rFonts w:ascii="Calibri" w:hAnsi="Calibri" w:cs="Calibri"/>
        </w:rPr>
      </w:pPr>
      <w:r w:rsidRPr="00A14D8A">
        <w:rPr>
          <w:rFonts w:ascii="Calibri" w:hAnsi="Calibri" w:cs="Calibri"/>
          <w:i/>
          <w:iCs/>
        </w:rPr>
        <w:t xml:space="preserve">“Ameliorate the concerns </w:t>
      </w:r>
      <w:r w:rsidR="00CE6B4A">
        <w:rPr>
          <w:rFonts w:ascii="Calibri" w:hAnsi="Calibri" w:cs="Calibri"/>
          <w:i/>
          <w:iCs/>
        </w:rPr>
        <w:t xml:space="preserve">[about loss of public ownership] </w:t>
      </w:r>
      <w:r w:rsidRPr="00A14D8A">
        <w:rPr>
          <w:rFonts w:ascii="Calibri" w:hAnsi="Calibri" w:cs="Calibri"/>
          <w:i/>
          <w:iCs/>
        </w:rPr>
        <w:t>that traditional tax credits introduce.” [Housing Justice Network, letter dated 5/3/2010]</w:t>
      </w:r>
    </w:p>
    <w:p w:rsidR="00BA369D" w:rsidRPr="00F35244" w:rsidRDefault="00BA369D" w:rsidP="00F35244">
      <w:pPr>
        <w:ind w:left="360"/>
        <w:rPr>
          <w:rFonts w:ascii="Calibri" w:hAnsi="Calibri" w:cs="Calibri"/>
        </w:rPr>
      </w:pPr>
      <w:r w:rsidRPr="00F35244">
        <w:rPr>
          <w:rFonts w:ascii="Calibri" w:hAnsi="Calibri" w:cs="Calibri"/>
          <w:b/>
          <w:bCs/>
        </w:rPr>
        <w:t xml:space="preserve">HOW HUD RESPONDED: </w:t>
      </w:r>
      <w:r w:rsidRPr="00F35244">
        <w:rPr>
          <w:rFonts w:ascii="Calibri" w:hAnsi="Calibri" w:cs="Calibri"/>
        </w:rPr>
        <w:t xml:space="preserve">The intent of PETRA is to enable owners of public housing to tap into their accumulated equity value — just like other owners of real estate — in order to meet their properties’ capital needs. By providing public owners with access to the same type of </w:t>
      </w:r>
      <w:r w:rsidR="00CE6B4A">
        <w:rPr>
          <w:rFonts w:ascii="Calibri" w:hAnsi="Calibri" w:cs="Calibri"/>
        </w:rPr>
        <w:t xml:space="preserve">single, reliable rental </w:t>
      </w:r>
      <w:r w:rsidRPr="00F35244">
        <w:rPr>
          <w:rFonts w:ascii="Calibri" w:hAnsi="Calibri" w:cs="Calibri"/>
        </w:rPr>
        <w:t xml:space="preserve">subsidy stream as private owners — but not the same renewal options (e.g., opt out) — PETRA creates </w:t>
      </w:r>
      <w:r w:rsidR="00CE6B4A">
        <w:rPr>
          <w:rFonts w:ascii="Calibri" w:hAnsi="Calibri" w:cs="Calibri"/>
        </w:rPr>
        <w:t>significant</w:t>
      </w:r>
      <w:r w:rsidR="00CE6B4A" w:rsidRPr="00F35244">
        <w:rPr>
          <w:rFonts w:ascii="Calibri" w:hAnsi="Calibri" w:cs="Calibri"/>
        </w:rPr>
        <w:t xml:space="preserve"> </w:t>
      </w:r>
      <w:r w:rsidRPr="00F35244">
        <w:rPr>
          <w:rFonts w:ascii="Calibri" w:hAnsi="Calibri" w:cs="Calibri"/>
        </w:rPr>
        <w:t>leveraging opportunit</w:t>
      </w:r>
      <w:r w:rsidR="00CE6B4A">
        <w:rPr>
          <w:rFonts w:ascii="Calibri" w:hAnsi="Calibri" w:cs="Calibri"/>
        </w:rPr>
        <w:t>ies.  HUD will have the authority to review loan</w:t>
      </w:r>
      <w:r w:rsidRPr="00F35244">
        <w:rPr>
          <w:rFonts w:ascii="Calibri" w:hAnsi="Calibri" w:cs="Calibri"/>
        </w:rPr>
        <w:t xml:space="preserve"> terms</w:t>
      </w:r>
      <w:r w:rsidR="00CE6B4A">
        <w:rPr>
          <w:rFonts w:ascii="Calibri" w:hAnsi="Calibri" w:cs="Calibri"/>
        </w:rPr>
        <w:t xml:space="preserve">, </w:t>
      </w:r>
      <w:proofErr w:type="spellStart"/>
      <w:r w:rsidR="00CE6B4A">
        <w:rPr>
          <w:rFonts w:ascii="Calibri" w:hAnsi="Calibri" w:cs="Calibri"/>
        </w:rPr>
        <w:t>preventing</w:t>
      </w:r>
      <w:r w:rsidRPr="00F35244">
        <w:rPr>
          <w:rFonts w:ascii="Calibri" w:hAnsi="Calibri" w:cs="Calibri"/>
        </w:rPr>
        <w:t>predatory</w:t>
      </w:r>
      <w:proofErr w:type="spellEnd"/>
      <w:r w:rsidRPr="00F35244">
        <w:rPr>
          <w:rFonts w:ascii="Calibri" w:hAnsi="Calibri" w:cs="Calibri"/>
        </w:rPr>
        <w:t xml:space="preserve"> lending</w:t>
      </w:r>
      <w:r w:rsidR="00CE6B4A">
        <w:rPr>
          <w:rFonts w:ascii="Calibri" w:hAnsi="Calibri" w:cs="Calibri"/>
        </w:rPr>
        <w:t xml:space="preserve"> or other investments that could destabilize public ownership in the future</w:t>
      </w:r>
      <w:r w:rsidRPr="00F35244">
        <w:rPr>
          <w:rFonts w:ascii="Calibri" w:hAnsi="Calibri" w:cs="Calibri"/>
        </w:rPr>
        <w:t>.</w:t>
      </w:r>
    </w:p>
    <w:p w:rsidR="00BA369D" w:rsidRPr="00F35244" w:rsidRDefault="00BA369D" w:rsidP="00F35244">
      <w:pPr>
        <w:ind w:left="360"/>
        <w:rPr>
          <w:rFonts w:ascii="Calibri" w:hAnsi="Calibri" w:cs="Calibri"/>
        </w:rPr>
      </w:pPr>
      <w:r w:rsidRPr="00F35244">
        <w:rPr>
          <w:rFonts w:ascii="Calibri" w:hAnsi="Calibri" w:cs="Calibri"/>
        </w:rPr>
        <w:t>Given the broad range of markets in which public housing is located and the varied physical needs of public housing properties, HUD believes that some public housing properties will be ineligible to convert using debt alone. In other words, if they were to borrow enough to address their capital needs, the level of debt service would be so great as to push rents above market and beyond the rent levels authorized in PETRA. In order to convert these properties while preserving the sort of long-term affordability that PETRA requires, some owners will therefore need some combination of debt and equity, and they will therefore pursue Low Income Housing Tax Credits (</w:t>
      </w:r>
      <w:proofErr w:type="spellStart"/>
      <w:r w:rsidRPr="00F35244">
        <w:rPr>
          <w:rFonts w:ascii="Calibri" w:hAnsi="Calibri" w:cs="Calibri"/>
        </w:rPr>
        <w:t>LIHTCs</w:t>
      </w:r>
      <w:proofErr w:type="spellEnd"/>
      <w:r w:rsidRPr="00F35244">
        <w:rPr>
          <w:rFonts w:ascii="Calibri" w:hAnsi="Calibri" w:cs="Calibri"/>
        </w:rPr>
        <w:t xml:space="preserve">). The benefit of </w:t>
      </w:r>
      <w:proofErr w:type="spellStart"/>
      <w:r w:rsidRPr="00F35244">
        <w:rPr>
          <w:rFonts w:ascii="Calibri" w:hAnsi="Calibri" w:cs="Calibri"/>
        </w:rPr>
        <w:t>LIHTCs</w:t>
      </w:r>
      <w:proofErr w:type="spellEnd"/>
      <w:r w:rsidRPr="00F35244">
        <w:rPr>
          <w:rFonts w:ascii="Calibri" w:hAnsi="Calibri" w:cs="Calibri"/>
        </w:rPr>
        <w:t xml:space="preserve"> is that they do not add to the operating costs of a property — they do not push rents up. </w:t>
      </w:r>
      <w:proofErr w:type="spellStart"/>
      <w:r w:rsidRPr="00F35244">
        <w:rPr>
          <w:rFonts w:ascii="Calibri" w:hAnsi="Calibri" w:cs="Calibri"/>
        </w:rPr>
        <w:t>LIHTC</w:t>
      </w:r>
      <w:proofErr w:type="spellEnd"/>
      <w:r w:rsidRPr="00F35244">
        <w:rPr>
          <w:rFonts w:ascii="Calibri" w:hAnsi="Calibri" w:cs="Calibri"/>
        </w:rPr>
        <w:t xml:space="preserve"> equity is an essential capital source for the preservation of properties for which debt alone is infeasible.</w:t>
      </w:r>
    </w:p>
    <w:p w:rsidR="00BA369D" w:rsidRPr="00A14D8A" w:rsidRDefault="00BA369D" w:rsidP="00F35244">
      <w:pPr>
        <w:spacing w:before="120" w:after="120"/>
        <w:ind w:left="360"/>
        <w:rPr>
          <w:rFonts w:ascii="Calibri" w:hAnsi="Calibri" w:cs="Calibri"/>
        </w:rPr>
      </w:pPr>
      <w:r w:rsidRPr="00F35244">
        <w:rPr>
          <w:rFonts w:ascii="Calibri" w:hAnsi="Calibri" w:cs="Calibri"/>
        </w:rPr>
        <w:t xml:space="preserve">For </w:t>
      </w:r>
      <w:proofErr w:type="spellStart"/>
      <w:r w:rsidRPr="00F35244">
        <w:rPr>
          <w:rFonts w:ascii="Calibri" w:hAnsi="Calibri" w:cs="Calibri"/>
        </w:rPr>
        <w:t>PHAs</w:t>
      </w:r>
      <w:proofErr w:type="spellEnd"/>
      <w:r w:rsidRPr="00F35244">
        <w:rPr>
          <w:rFonts w:ascii="Calibri" w:hAnsi="Calibri" w:cs="Calibri"/>
        </w:rPr>
        <w:t xml:space="preserve"> that need to pursue </w:t>
      </w:r>
      <w:proofErr w:type="spellStart"/>
      <w:r w:rsidRPr="00F35244">
        <w:rPr>
          <w:rFonts w:ascii="Calibri" w:hAnsi="Calibri" w:cs="Calibri"/>
        </w:rPr>
        <w:t>LIHTCs</w:t>
      </w:r>
      <w:proofErr w:type="spellEnd"/>
      <w:r w:rsidRPr="00F35244">
        <w:rPr>
          <w:rFonts w:ascii="Calibri" w:hAnsi="Calibri" w:cs="Calibri"/>
        </w:rPr>
        <w:t xml:space="preserve"> to fund the rehabilitation or replacement of properties — requiring some form of partnership with an entity that has tax liability — PETRA encourages </w:t>
      </w:r>
      <w:proofErr w:type="spellStart"/>
      <w:r w:rsidRPr="00F35244">
        <w:rPr>
          <w:rFonts w:ascii="Calibri" w:hAnsi="Calibri" w:cs="Calibri"/>
        </w:rPr>
        <w:t>PHAs</w:t>
      </w:r>
      <w:proofErr w:type="spellEnd"/>
      <w:r w:rsidRPr="00F35244">
        <w:rPr>
          <w:rFonts w:ascii="Calibri" w:hAnsi="Calibri" w:cs="Calibri"/>
        </w:rPr>
        <w:t xml:space="preserve"> to establish for this purpose an instrumentality or affiliate over which the </w:t>
      </w:r>
      <w:proofErr w:type="spellStart"/>
      <w:r w:rsidRPr="00F35244">
        <w:rPr>
          <w:rFonts w:ascii="Calibri" w:hAnsi="Calibri" w:cs="Calibri"/>
        </w:rPr>
        <w:t>PHA</w:t>
      </w:r>
      <w:proofErr w:type="spellEnd"/>
      <w:r w:rsidRPr="00F35244">
        <w:rPr>
          <w:rFonts w:ascii="Calibri" w:hAnsi="Calibri" w:cs="Calibri"/>
        </w:rPr>
        <w:t xml:space="preserve"> retains effective public control. If </w:t>
      </w:r>
      <w:proofErr w:type="spellStart"/>
      <w:r w:rsidRPr="00F35244">
        <w:rPr>
          <w:rFonts w:ascii="Calibri" w:hAnsi="Calibri" w:cs="Calibri"/>
        </w:rPr>
        <w:t>PHAs</w:t>
      </w:r>
      <w:proofErr w:type="spellEnd"/>
      <w:r w:rsidRPr="00F35244">
        <w:rPr>
          <w:rFonts w:ascii="Calibri" w:hAnsi="Calibri" w:cs="Calibri"/>
        </w:rPr>
        <w:t xml:space="preserve"> structure the transaction in </w:t>
      </w:r>
      <w:r w:rsidRPr="00F35244">
        <w:rPr>
          <w:rFonts w:ascii="Calibri" w:hAnsi="Calibri" w:cs="Calibri"/>
        </w:rPr>
        <w:lastRenderedPageBreak/>
        <w:t>this way, the conversion process will be streamlined, and agencies will not be required to go through a separate process to “dispose” of the property.</w:t>
      </w:r>
    </w:p>
    <w:p w:rsidR="00BA369D" w:rsidRPr="009019FA" w:rsidRDefault="00BA369D" w:rsidP="00AE2FED">
      <w:pPr>
        <w:rPr>
          <w:rStyle w:val="IntenseReference"/>
          <w:rFonts w:ascii="Calibri" w:hAnsi="Calibri" w:cs="Calibri"/>
        </w:rPr>
      </w:pPr>
      <w:r>
        <w:rPr>
          <w:rStyle w:val="IntenseReference"/>
          <w:rFonts w:ascii="Calibri" w:hAnsi="Calibri" w:cs="Calibri"/>
        </w:rPr>
        <w:t>Adopt Strong Affordability Restrictions</w:t>
      </w:r>
    </w:p>
    <w:p w:rsidR="00BA369D" w:rsidRPr="00A14D8A" w:rsidRDefault="00BA369D" w:rsidP="00AE2FED">
      <w:pPr>
        <w:pStyle w:val="ListParagraph"/>
        <w:numPr>
          <w:ilvl w:val="0"/>
          <w:numId w:val="1"/>
        </w:numPr>
        <w:spacing w:before="120" w:after="120"/>
        <w:rPr>
          <w:rFonts w:ascii="Calibri" w:hAnsi="Calibri" w:cs="Calibri"/>
          <w:i/>
          <w:iCs/>
        </w:rPr>
      </w:pPr>
      <w:r w:rsidRPr="00A14D8A">
        <w:rPr>
          <w:rFonts w:ascii="Calibri" w:hAnsi="Calibri" w:cs="Calibri"/>
          <w:i/>
          <w:iCs/>
        </w:rPr>
        <w:t>“Require that the use restrictions be recorded in superior position to any mortgages placed on public housing.” [Housing Justice Network, letter dated 5/3/2010]</w:t>
      </w:r>
    </w:p>
    <w:p w:rsidR="00BA369D" w:rsidRPr="00AE2FED" w:rsidRDefault="00BA369D" w:rsidP="00AE2FED">
      <w:pPr>
        <w:spacing w:before="120" w:after="120"/>
        <w:ind w:left="360"/>
        <w:rPr>
          <w:rFonts w:ascii="Calibri" w:hAnsi="Calibri" w:cs="Calibri"/>
        </w:rPr>
      </w:pPr>
      <w:r w:rsidRPr="00AE2FED">
        <w:rPr>
          <w:rFonts w:ascii="Calibri" w:hAnsi="Calibri" w:cs="Calibri"/>
          <w:b/>
          <w:bCs/>
        </w:rPr>
        <w:t xml:space="preserve">HOW HUD RESPONDED: </w:t>
      </w:r>
      <w:r w:rsidRPr="00AE2FED">
        <w:rPr>
          <w:rFonts w:ascii="Calibri" w:hAnsi="Calibri" w:cs="Calibri"/>
        </w:rPr>
        <w:t>Public housing properties that convert to project-based assistance will record a use agreement structured as a covenant that runs with the land, which means that the use agreement will be superior to any debt instrument.</w:t>
      </w:r>
      <w:r w:rsidR="009A5114">
        <w:rPr>
          <w:rFonts w:ascii="Calibri" w:hAnsi="Calibri" w:cs="Calibri"/>
        </w:rPr>
        <w:t xml:space="preserve">  The use agreement will prescribe the number of units that must be made available to low-income and extremely low-income households contributing the amounts required by the U.S. Housing Act toward rent and utility costs (now generally 30 percent of adjusted income).   </w:t>
      </w:r>
    </w:p>
    <w:p w:rsidR="00BA369D" w:rsidRPr="00A14D8A" w:rsidRDefault="00BA369D" w:rsidP="00AE2FED">
      <w:pPr>
        <w:pStyle w:val="ListParagraph"/>
        <w:numPr>
          <w:ilvl w:val="0"/>
          <w:numId w:val="1"/>
        </w:numPr>
        <w:spacing w:before="120" w:after="120"/>
        <w:rPr>
          <w:rFonts w:ascii="Calibri" w:hAnsi="Calibri" w:cs="Calibri"/>
          <w:i/>
          <w:iCs/>
        </w:rPr>
      </w:pPr>
      <w:r w:rsidRPr="00A14D8A">
        <w:rPr>
          <w:rFonts w:ascii="Calibri" w:hAnsi="Calibri" w:cs="Calibri"/>
          <w:i/>
          <w:iCs/>
        </w:rPr>
        <w:t>“The use agreement should extend beyond the contract term.” [participants in HUD’s resident engagement initiative, letter dated 4/14/2010]</w:t>
      </w:r>
    </w:p>
    <w:p w:rsidR="00BA369D" w:rsidRPr="00AE2FED" w:rsidRDefault="00BA369D" w:rsidP="00AE2FED">
      <w:pPr>
        <w:spacing w:before="120" w:after="120"/>
        <w:ind w:left="360"/>
        <w:rPr>
          <w:rFonts w:ascii="Calibri" w:hAnsi="Calibri" w:cs="Calibri"/>
        </w:rPr>
      </w:pPr>
      <w:r w:rsidRPr="00AE2FED">
        <w:rPr>
          <w:rFonts w:ascii="Calibri" w:hAnsi="Calibri" w:cs="Calibri"/>
          <w:b/>
          <w:bCs/>
        </w:rPr>
        <w:t xml:space="preserve">HOW HUD RESPONDED: </w:t>
      </w:r>
      <w:r w:rsidRPr="00AE2FED">
        <w:rPr>
          <w:rFonts w:ascii="Calibri" w:hAnsi="Calibri" w:cs="Calibri"/>
        </w:rPr>
        <w:t>For converting public housing properties, PETRA</w:t>
      </w:r>
      <w:r>
        <w:rPr>
          <w:rFonts w:ascii="Calibri" w:hAnsi="Calibri" w:cs="Calibri"/>
        </w:rPr>
        <w:t xml:space="preserve"> would require an initial 20-year contract term and a </w:t>
      </w:r>
      <w:r w:rsidRPr="00AE2FED">
        <w:rPr>
          <w:rFonts w:ascii="Calibri" w:hAnsi="Calibri" w:cs="Calibri"/>
        </w:rPr>
        <w:t xml:space="preserve">use agreement of </w:t>
      </w:r>
      <w:r w:rsidRPr="00AE2FED">
        <w:rPr>
          <w:rFonts w:ascii="Calibri" w:hAnsi="Calibri" w:cs="Calibri"/>
          <w:i/>
          <w:iCs/>
        </w:rPr>
        <w:t>at least</w:t>
      </w:r>
      <w:r w:rsidRPr="00AE2FED">
        <w:rPr>
          <w:rFonts w:ascii="Calibri" w:hAnsi="Calibri" w:cs="Calibri"/>
        </w:rPr>
        <w:t xml:space="preserve"> 30 years.</w:t>
      </w:r>
    </w:p>
    <w:p w:rsidR="00BA369D" w:rsidRPr="002478F4" w:rsidRDefault="00BA369D" w:rsidP="00AE2FED">
      <w:pPr>
        <w:pStyle w:val="ListParagraph"/>
        <w:numPr>
          <w:ilvl w:val="0"/>
          <w:numId w:val="1"/>
        </w:numPr>
        <w:spacing w:before="120" w:after="120"/>
        <w:rPr>
          <w:rFonts w:ascii="Calibri" w:hAnsi="Calibri" w:cs="Calibri"/>
        </w:rPr>
      </w:pPr>
      <w:r w:rsidRPr="00A14D8A">
        <w:rPr>
          <w:rFonts w:ascii="Calibri" w:hAnsi="Calibri" w:cs="Calibri"/>
          <w:i/>
          <w:iCs/>
        </w:rPr>
        <w:t>“Owners should be required to extend the contract if such extension is offered by HUD.” [participants in HUD’s resident engagement initiative, letter dated 4/14/2010</w:t>
      </w:r>
      <w:r>
        <w:rPr>
          <w:rFonts w:ascii="Calibri" w:hAnsi="Calibri" w:cs="Calibri"/>
          <w:i/>
          <w:iCs/>
        </w:rPr>
        <w:t>]</w:t>
      </w:r>
    </w:p>
    <w:p w:rsidR="00BA369D" w:rsidRPr="00A14D8A" w:rsidRDefault="00BA369D" w:rsidP="00AE2FED">
      <w:pPr>
        <w:pStyle w:val="ListParagraph"/>
        <w:numPr>
          <w:ilvl w:val="0"/>
          <w:numId w:val="1"/>
        </w:numPr>
        <w:spacing w:before="120" w:after="120"/>
        <w:rPr>
          <w:rFonts w:ascii="Calibri" w:hAnsi="Calibri" w:cs="Calibri"/>
        </w:rPr>
      </w:pPr>
      <w:r w:rsidRPr="00A14D8A">
        <w:rPr>
          <w:rFonts w:ascii="Calibri" w:hAnsi="Calibri" w:cs="Calibri"/>
          <w:i/>
          <w:iCs/>
        </w:rPr>
        <w:t>“All public housing owners must be required to renew the Section 8 subsidy for so long as the federal government makes appropriations available.” [Housing Justice Network, letter dated 5/3/2010]</w:t>
      </w:r>
    </w:p>
    <w:p w:rsidR="00BA369D" w:rsidRPr="00AE2FED" w:rsidRDefault="00BA369D" w:rsidP="00AE2FED">
      <w:pPr>
        <w:spacing w:before="120" w:after="120"/>
        <w:ind w:left="360"/>
        <w:rPr>
          <w:rFonts w:ascii="Calibri" w:hAnsi="Calibri" w:cs="Calibri"/>
        </w:rPr>
      </w:pPr>
      <w:r w:rsidRPr="00AE2FED">
        <w:rPr>
          <w:rFonts w:ascii="Calibri" w:hAnsi="Calibri" w:cs="Calibri"/>
          <w:b/>
          <w:bCs/>
        </w:rPr>
        <w:t xml:space="preserve">HOW HUD RESPONDED: </w:t>
      </w:r>
      <w:r>
        <w:rPr>
          <w:rFonts w:ascii="Calibri" w:hAnsi="Calibri" w:cs="Calibri"/>
        </w:rPr>
        <w:t>W</w:t>
      </w:r>
      <w:r w:rsidRPr="00AE2FED">
        <w:rPr>
          <w:rFonts w:ascii="Calibri" w:hAnsi="Calibri" w:cs="Calibri"/>
        </w:rPr>
        <w:t xml:space="preserve">hether the owner </w:t>
      </w:r>
      <w:r>
        <w:rPr>
          <w:rFonts w:ascii="Calibri" w:hAnsi="Calibri" w:cs="Calibri"/>
        </w:rPr>
        <w:t xml:space="preserve">of a converting property </w:t>
      </w:r>
      <w:r w:rsidRPr="00AE2FED">
        <w:rPr>
          <w:rFonts w:ascii="Calibri" w:hAnsi="Calibri" w:cs="Calibri"/>
        </w:rPr>
        <w:t>is a public housing agency or a private owner, PETRA would provide that “in the initial contract or any contract extension, the Secretary may obligate the owner to have such extensions of the [project-based] contract accepted by the owner and by the successors in interest of the owner.” For multifamily owners, the obligation would apply only if the owner agrees to include it in the contract; public housing owners would be required “to accept extensions offered by the Secretary, absent compelling reasons as determined by the Secretary.”</w:t>
      </w:r>
    </w:p>
    <w:p w:rsidR="00BA369D" w:rsidRPr="009019FA" w:rsidRDefault="00BA369D" w:rsidP="002478F4">
      <w:pPr>
        <w:rPr>
          <w:rStyle w:val="IntenseReference"/>
          <w:rFonts w:ascii="Calibri" w:hAnsi="Calibri" w:cs="Calibri"/>
        </w:rPr>
      </w:pPr>
      <w:r>
        <w:rPr>
          <w:rStyle w:val="IntenseReference"/>
          <w:rFonts w:ascii="Calibri" w:hAnsi="Calibri" w:cs="Calibri"/>
        </w:rPr>
        <w:t>Establish a Workable One-for-One Replacement Policy</w:t>
      </w:r>
    </w:p>
    <w:p w:rsidR="00BA369D" w:rsidRPr="00A14D8A" w:rsidRDefault="00BA369D" w:rsidP="002478F4">
      <w:pPr>
        <w:pStyle w:val="ListParagraph"/>
        <w:numPr>
          <w:ilvl w:val="0"/>
          <w:numId w:val="1"/>
        </w:numPr>
        <w:spacing w:before="120" w:after="120"/>
        <w:rPr>
          <w:rFonts w:ascii="Calibri" w:hAnsi="Calibri" w:cs="Calibri"/>
          <w:i/>
          <w:iCs/>
        </w:rPr>
      </w:pPr>
      <w:r w:rsidRPr="00A14D8A">
        <w:rPr>
          <w:rFonts w:ascii="Calibri" w:hAnsi="Calibri" w:cs="Calibri"/>
          <w:i/>
          <w:iCs/>
        </w:rPr>
        <w:t>“</w:t>
      </w:r>
      <w:r>
        <w:rPr>
          <w:rFonts w:ascii="Calibri" w:hAnsi="Calibri" w:cs="Calibri"/>
          <w:i/>
          <w:iCs/>
        </w:rPr>
        <w:t>[PETRA]</w:t>
      </w:r>
      <w:r w:rsidRPr="00A14D8A">
        <w:rPr>
          <w:rFonts w:ascii="Calibri" w:hAnsi="Calibri" w:cs="Calibri"/>
          <w:i/>
          <w:iCs/>
        </w:rPr>
        <w:t xml:space="preserve"> should not be used to reduce the number of affordable hard units in the housing market available to the </w:t>
      </w:r>
      <w:proofErr w:type="spellStart"/>
      <w:r w:rsidRPr="00A14D8A">
        <w:rPr>
          <w:rFonts w:ascii="Calibri" w:hAnsi="Calibri" w:cs="Calibri"/>
          <w:i/>
          <w:iCs/>
        </w:rPr>
        <w:t>PHA’s</w:t>
      </w:r>
      <w:proofErr w:type="spellEnd"/>
      <w:r w:rsidRPr="00A14D8A">
        <w:rPr>
          <w:rFonts w:ascii="Calibri" w:hAnsi="Calibri" w:cs="Calibri"/>
          <w:i/>
          <w:iCs/>
        </w:rPr>
        <w:t xml:space="preserve"> residents and applicants on the waiting list(s).” [participants in HUD’s resident engagement initiative, letter dated 4/14/2010]</w:t>
      </w:r>
    </w:p>
    <w:p w:rsidR="00BA369D" w:rsidRPr="002478F4" w:rsidRDefault="00BA369D" w:rsidP="00A14D8A">
      <w:pPr>
        <w:spacing w:before="120" w:after="120"/>
        <w:ind w:left="360"/>
        <w:rPr>
          <w:rFonts w:ascii="Calibri" w:hAnsi="Calibri" w:cs="Calibri"/>
        </w:rPr>
      </w:pPr>
      <w:r w:rsidRPr="002478F4">
        <w:rPr>
          <w:rFonts w:ascii="Calibri" w:hAnsi="Calibri" w:cs="Calibri"/>
          <w:b/>
          <w:bCs/>
        </w:rPr>
        <w:t xml:space="preserve">HOW HUD RESPONDED: </w:t>
      </w:r>
      <w:r w:rsidRPr="002478F4">
        <w:rPr>
          <w:rFonts w:ascii="Calibri" w:hAnsi="Calibri" w:cs="Calibri"/>
        </w:rPr>
        <w:t xml:space="preserve">PETRA would authorize a reduction in the number of assisted units at a converting property “only if the assistance from such reduced number of units is transferred to an equal number of units in a replacement property or properties.” Replacement units would need to meet location requirements, including with respect to fair housing, poverty </w:t>
      </w:r>
      <w:proofErr w:type="spellStart"/>
      <w:r w:rsidRPr="002478F4">
        <w:rPr>
          <w:rFonts w:ascii="Calibri" w:hAnsi="Calibri" w:cs="Calibri"/>
        </w:rPr>
        <w:t>deconcentration</w:t>
      </w:r>
      <w:proofErr w:type="spellEnd"/>
      <w:r w:rsidRPr="002478F4">
        <w:rPr>
          <w:rFonts w:ascii="Calibri" w:hAnsi="Calibri" w:cs="Calibri"/>
        </w:rPr>
        <w:t xml:space="preserve">, and economic opportunity. Under </w:t>
      </w:r>
      <w:proofErr w:type="spellStart"/>
      <w:r w:rsidRPr="002478F4">
        <w:rPr>
          <w:rFonts w:ascii="Calibri" w:hAnsi="Calibri" w:cs="Calibri"/>
        </w:rPr>
        <w:t>PETRA’s</w:t>
      </w:r>
      <w:proofErr w:type="spellEnd"/>
      <w:r w:rsidRPr="002478F4">
        <w:rPr>
          <w:rFonts w:ascii="Calibri" w:hAnsi="Calibri" w:cs="Calibri"/>
        </w:rPr>
        <w:t xml:space="preserve"> so-called </w:t>
      </w:r>
      <w:r w:rsidRPr="002478F4">
        <w:rPr>
          <w:rFonts w:ascii="Calibri" w:hAnsi="Calibri" w:cs="Calibri"/>
          <w:i/>
          <w:iCs/>
        </w:rPr>
        <w:t xml:space="preserve">de </w:t>
      </w:r>
      <w:proofErr w:type="spellStart"/>
      <w:r w:rsidRPr="002478F4">
        <w:rPr>
          <w:rFonts w:ascii="Calibri" w:hAnsi="Calibri" w:cs="Calibri"/>
          <w:i/>
          <w:iCs/>
        </w:rPr>
        <w:t>minimis</w:t>
      </w:r>
      <w:proofErr w:type="spellEnd"/>
      <w:r w:rsidRPr="002478F4">
        <w:rPr>
          <w:rFonts w:ascii="Calibri" w:hAnsi="Calibri" w:cs="Calibri"/>
        </w:rPr>
        <w:t xml:space="preserve"> </w:t>
      </w:r>
      <w:r w:rsidRPr="002478F4">
        <w:rPr>
          <w:rFonts w:ascii="Calibri" w:hAnsi="Calibri" w:cs="Calibri"/>
        </w:rPr>
        <w:lastRenderedPageBreak/>
        <w:t xml:space="preserve">exception to one-for-one replacement requirement, the owner of a property converting under PETRA would be permitted to demolish </w:t>
      </w:r>
      <w:r>
        <w:rPr>
          <w:rFonts w:ascii="Calibri" w:hAnsi="Calibri" w:cs="Calibri"/>
        </w:rPr>
        <w:t xml:space="preserve">not more than </w:t>
      </w:r>
      <w:r w:rsidRPr="002478F4">
        <w:rPr>
          <w:rFonts w:ascii="Calibri" w:hAnsi="Calibri" w:cs="Calibri"/>
        </w:rPr>
        <w:t>the lesser of 5 dwelling units or 5 percent of the units at the converting property, but only to reconfigure existing units, for example to serve larger families</w:t>
      </w:r>
      <w:r w:rsidR="00141C46">
        <w:rPr>
          <w:rFonts w:ascii="Calibri" w:hAnsi="Calibri" w:cs="Calibri"/>
        </w:rPr>
        <w:t>,</w:t>
      </w:r>
      <w:r w:rsidRPr="002478F4">
        <w:rPr>
          <w:rFonts w:ascii="Calibri" w:hAnsi="Calibri" w:cs="Calibri"/>
        </w:rPr>
        <w:t xml:space="preserve"> or to create common space for service delivery, or if the demolished units were beyond repair. PETRA would also authorize the replacement of </w:t>
      </w:r>
      <w:r w:rsidR="00141C46">
        <w:rPr>
          <w:rFonts w:ascii="Calibri" w:hAnsi="Calibri" w:cs="Calibri"/>
        </w:rPr>
        <w:t xml:space="preserve">up to half of </w:t>
      </w:r>
      <w:r w:rsidRPr="002478F4">
        <w:rPr>
          <w:rFonts w:ascii="Calibri" w:hAnsi="Calibri" w:cs="Calibri"/>
        </w:rPr>
        <w:t xml:space="preserve">units with </w:t>
      </w:r>
      <w:r w:rsidR="00141C46">
        <w:rPr>
          <w:rFonts w:ascii="Calibri" w:hAnsi="Calibri" w:cs="Calibri"/>
        </w:rPr>
        <w:t xml:space="preserve">new </w:t>
      </w:r>
      <w:r w:rsidRPr="002478F4">
        <w:rPr>
          <w:rFonts w:ascii="Calibri" w:hAnsi="Calibri" w:cs="Calibri"/>
        </w:rPr>
        <w:t>housing choice vouchers in markets with persistently high vacancy rates and proven records of voucher success</w:t>
      </w:r>
      <w:r w:rsidR="00141C46">
        <w:rPr>
          <w:rFonts w:ascii="Calibri" w:hAnsi="Calibri" w:cs="Calibri"/>
        </w:rPr>
        <w:t>, including in low-poverty neighborhoods</w:t>
      </w:r>
      <w:r w:rsidRPr="002478F4">
        <w:rPr>
          <w:rFonts w:ascii="Calibri" w:hAnsi="Calibri" w:cs="Calibri"/>
        </w:rPr>
        <w:t>.</w:t>
      </w:r>
    </w:p>
    <w:p w:rsidR="00BA369D" w:rsidRPr="009019FA" w:rsidRDefault="00BA369D" w:rsidP="003A3FD8">
      <w:pPr>
        <w:spacing w:before="120" w:after="120"/>
        <w:rPr>
          <w:rStyle w:val="IntenseReference"/>
          <w:rFonts w:ascii="Calibri" w:hAnsi="Calibri" w:cs="Calibri"/>
        </w:rPr>
      </w:pPr>
      <w:r w:rsidRPr="00A14D8A">
        <w:rPr>
          <w:rStyle w:val="IntenseReference"/>
          <w:rFonts w:ascii="Calibri" w:hAnsi="Calibri" w:cs="Calibri"/>
        </w:rPr>
        <w:t xml:space="preserve">Protect Residents &amp; </w:t>
      </w:r>
      <w:r>
        <w:rPr>
          <w:rStyle w:val="IntenseReference"/>
          <w:rFonts w:ascii="Calibri" w:hAnsi="Calibri" w:cs="Calibri"/>
        </w:rPr>
        <w:t xml:space="preserve">their </w:t>
      </w:r>
      <w:r w:rsidRPr="00A14D8A">
        <w:rPr>
          <w:rStyle w:val="IntenseReference"/>
          <w:rFonts w:ascii="Calibri" w:hAnsi="Calibri" w:cs="Calibri"/>
        </w:rPr>
        <w:t>Rights</w:t>
      </w:r>
    </w:p>
    <w:p w:rsidR="00BA369D" w:rsidRPr="00A14D8A" w:rsidRDefault="00BA369D" w:rsidP="003A3FD8">
      <w:pPr>
        <w:pStyle w:val="ListParagraph"/>
        <w:numPr>
          <w:ilvl w:val="0"/>
          <w:numId w:val="1"/>
        </w:numPr>
        <w:spacing w:before="120" w:after="120"/>
        <w:rPr>
          <w:rFonts w:ascii="Calibri" w:hAnsi="Calibri" w:cs="Calibri"/>
          <w:i/>
          <w:iCs/>
        </w:rPr>
      </w:pPr>
      <w:r w:rsidRPr="00A14D8A">
        <w:rPr>
          <w:rFonts w:ascii="Calibri" w:hAnsi="Calibri" w:cs="Calibri"/>
          <w:i/>
          <w:iCs/>
        </w:rPr>
        <w:t xml:space="preserve"> “Tenant protections similar to the Protecting Tenants at Foreclosure Act…should be supported to assure the continuation of tenancies post-foreclosure.” [participants in HUD’s resident engagement initiative, letter dated 4/14/2010]</w:t>
      </w:r>
    </w:p>
    <w:p w:rsidR="00BA369D" w:rsidRPr="00A14D8A" w:rsidRDefault="00BA369D" w:rsidP="003A3FD8">
      <w:pPr>
        <w:spacing w:before="120" w:after="120"/>
        <w:ind w:left="360"/>
        <w:rPr>
          <w:rFonts w:ascii="Calibri" w:hAnsi="Calibri" w:cs="Calibri"/>
        </w:rPr>
      </w:pPr>
      <w:r w:rsidRPr="00913B1D">
        <w:rPr>
          <w:rFonts w:ascii="Calibri" w:hAnsi="Calibri" w:cs="Calibri"/>
          <w:b/>
          <w:bCs/>
        </w:rPr>
        <w:t xml:space="preserve">HOW HUD RESPONDED: </w:t>
      </w:r>
      <w:r w:rsidRPr="00A14D8A">
        <w:rPr>
          <w:rFonts w:ascii="Calibri" w:hAnsi="Calibri" w:cs="Calibri"/>
        </w:rPr>
        <w:t>In the event of foreclosure of an assisted property or bankruptcy of an owner of such a property, PETRA specifies that the property “shall remain subject to the requirements of such rental assistance contract and any extensions thereof, the lease between the prior owner and tenants assisted under such contract, and any use agreement in effect immediately before the foreclosure or bankruptcy filing.”</w:t>
      </w:r>
      <w:r w:rsidR="00141C46">
        <w:rPr>
          <w:rFonts w:ascii="Calibri" w:hAnsi="Calibri" w:cs="Calibri"/>
        </w:rPr>
        <w:t xml:space="preserve">  This provision is modeled on the </w:t>
      </w:r>
      <w:r w:rsidR="002D157B" w:rsidRPr="002D157B">
        <w:rPr>
          <w:rFonts w:ascii="Calibri" w:hAnsi="Calibri" w:cs="Calibri"/>
          <w:iCs/>
        </w:rPr>
        <w:t>Protecting Tenants at Foreclosure Act</w:t>
      </w:r>
      <w:r w:rsidR="00141C46">
        <w:rPr>
          <w:rFonts w:ascii="Calibri" w:hAnsi="Calibri" w:cs="Calibri"/>
          <w:iCs/>
        </w:rPr>
        <w:t xml:space="preserve"> (but unlike the </w:t>
      </w:r>
      <w:proofErr w:type="spellStart"/>
      <w:r w:rsidR="00141C46">
        <w:rPr>
          <w:rFonts w:ascii="Calibri" w:hAnsi="Calibri" w:cs="Calibri"/>
          <w:iCs/>
        </w:rPr>
        <w:t>PTFA</w:t>
      </w:r>
      <w:proofErr w:type="spellEnd"/>
      <w:r w:rsidR="00141C46">
        <w:rPr>
          <w:rFonts w:ascii="Calibri" w:hAnsi="Calibri" w:cs="Calibri"/>
          <w:iCs/>
        </w:rPr>
        <w:t xml:space="preserve"> is not time-limited).</w:t>
      </w:r>
    </w:p>
    <w:p w:rsidR="00BA369D" w:rsidRPr="00A14D8A" w:rsidRDefault="00BA369D" w:rsidP="003A3FD8">
      <w:pPr>
        <w:pStyle w:val="ListParagraph"/>
        <w:numPr>
          <w:ilvl w:val="0"/>
          <w:numId w:val="1"/>
        </w:numPr>
        <w:spacing w:before="120" w:after="120"/>
        <w:rPr>
          <w:rFonts w:ascii="Calibri" w:hAnsi="Calibri" w:cs="Calibri"/>
          <w:i/>
          <w:iCs/>
        </w:rPr>
      </w:pPr>
      <w:r w:rsidRPr="00A14D8A">
        <w:rPr>
          <w:rFonts w:ascii="Calibri" w:hAnsi="Calibri" w:cs="Calibri"/>
          <w:i/>
          <w:iCs/>
        </w:rPr>
        <w:t xml:space="preserve">“Resident participation rights should be codified in the </w:t>
      </w:r>
      <w:proofErr w:type="spellStart"/>
      <w:r w:rsidRPr="00A14D8A">
        <w:rPr>
          <w:rFonts w:ascii="Calibri" w:hAnsi="Calibri" w:cs="Calibri"/>
          <w:i/>
          <w:iCs/>
        </w:rPr>
        <w:t>TRA</w:t>
      </w:r>
      <w:proofErr w:type="spellEnd"/>
      <w:r w:rsidRPr="00A14D8A">
        <w:rPr>
          <w:rFonts w:ascii="Calibri" w:hAnsi="Calibri" w:cs="Calibri"/>
          <w:i/>
          <w:iCs/>
        </w:rPr>
        <w:t xml:space="preserve"> legislation.” [participants in HUD’s resident engagement initiative, letter dated 4/14/2010]</w:t>
      </w:r>
    </w:p>
    <w:p w:rsidR="00BA369D" w:rsidRPr="00A14D8A" w:rsidRDefault="00BA369D" w:rsidP="00B671F3">
      <w:pPr>
        <w:pStyle w:val="ListParagraph"/>
        <w:numPr>
          <w:ilvl w:val="0"/>
          <w:numId w:val="1"/>
        </w:numPr>
        <w:spacing w:before="120" w:after="120"/>
        <w:rPr>
          <w:rFonts w:ascii="Calibri" w:hAnsi="Calibri" w:cs="Calibri"/>
          <w:i/>
          <w:iCs/>
        </w:rPr>
      </w:pPr>
      <w:r w:rsidRPr="00A14D8A">
        <w:rPr>
          <w:rFonts w:ascii="Calibri" w:hAnsi="Calibri" w:cs="Calibri"/>
          <w:i/>
          <w:iCs/>
        </w:rPr>
        <w:t>“All residents and program participants want to be guaranteed the right to have notice of and input into any major decision or plan affecting their housing or the program rules.” [participants in HUD’s resident engagement initiative, letter dated 4/14/2010]</w:t>
      </w:r>
    </w:p>
    <w:p w:rsidR="00BA369D" w:rsidRPr="003A3FD8" w:rsidRDefault="00BA369D" w:rsidP="003A3FD8">
      <w:pPr>
        <w:spacing w:before="120" w:after="120"/>
        <w:ind w:left="360"/>
        <w:rPr>
          <w:rFonts w:ascii="Calibri" w:hAnsi="Calibri" w:cs="Calibri"/>
        </w:rPr>
      </w:pPr>
      <w:r w:rsidRPr="003A3FD8">
        <w:rPr>
          <w:rFonts w:ascii="Calibri" w:hAnsi="Calibri" w:cs="Calibri"/>
          <w:b/>
          <w:bCs/>
        </w:rPr>
        <w:t xml:space="preserve">HOW HUD RESPONDED: </w:t>
      </w:r>
      <w:r w:rsidRPr="003A3FD8">
        <w:rPr>
          <w:rFonts w:ascii="Calibri" w:hAnsi="Calibri" w:cs="Calibri"/>
        </w:rPr>
        <w:t>PETRA would authorize the Secretary to establish uniform policies and procedures with respect to the rights of tenants of all HUD-funded rental assistance programs. Among these rights is the right to organize. PETRA would require “owners and public housing agencies administering rental assistance [to] recognize legitimate tenant organizations and give reasonable consideration to [their] concerns.”</w:t>
      </w:r>
    </w:p>
    <w:p w:rsidR="00BA369D" w:rsidRPr="003A3FD8" w:rsidRDefault="00BA369D" w:rsidP="003A3FD8">
      <w:pPr>
        <w:spacing w:before="120" w:after="120"/>
        <w:ind w:left="360"/>
        <w:rPr>
          <w:rFonts w:ascii="Calibri" w:hAnsi="Calibri" w:cs="Calibri"/>
        </w:rPr>
      </w:pPr>
      <w:r w:rsidRPr="00B671F3">
        <w:rPr>
          <w:rFonts w:ascii="Calibri" w:hAnsi="Calibri" w:cs="Calibri"/>
        </w:rPr>
        <w:t xml:space="preserve">With respect to </w:t>
      </w:r>
      <w:r>
        <w:rPr>
          <w:rFonts w:ascii="Calibri" w:hAnsi="Calibri" w:cs="Calibri"/>
        </w:rPr>
        <w:t xml:space="preserve">resident input into </w:t>
      </w:r>
      <w:r w:rsidRPr="00B671F3">
        <w:rPr>
          <w:rFonts w:ascii="Calibri" w:hAnsi="Calibri" w:cs="Calibri"/>
        </w:rPr>
        <w:t xml:space="preserve">conversion, </w:t>
      </w:r>
      <w:r w:rsidRPr="003A3FD8">
        <w:rPr>
          <w:rFonts w:ascii="Calibri" w:hAnsi="Calibri" w:cs="Calibri"/>
        </w:rPr>
        <w:t>PETRA specifies that a public housing agency’s plan to convert a property would be considered a “significant amendment” to the agency’s annual plan, which triggers a requirement to consult with the resident advisory board. In addition, HUD will establish procedures for the involvement of tenants during the conversion process itself, for example to hear tenant priorities for capital improvements at a property prior to developing a rehabilitation plan.</w:t>
      </w:r>
      <w:r w:rsidR="00141C46">
        <w:rPr>
          <w:rFonts w:ascii="Calibri" w:hAnsi="Calibri" w:cs="Calibri"/>
        </w:rPr>
        <w:t xml:space="preserve">  These procedures will apply to all converted properties.</w:t>
      </w:r>
    </w:p>
    <w:p w:rsidR="00BA369D" w:rsidRPr="00A14D8A" w:rsidRDefault="00BA369D" w:rsidP="003A3FD8">
      <w:pPr>
        <w:pStyle w:val="ListParagraph"/>
        <w:numPr>
          <w:ilvl w:val="0"/>
          <w:numId w:val="1"/>
        </w:numPr>
        <w:spacing w:before="120" w:after="120"/>
        <w:rPr>
          <w:rFonts w:ascii="Calibri" w:hAnsi="Calibri" w:cs="Calibri"/>
          <w:i/>
          <w:iCs/>
        </w:rPr>
      </w:pPr>
      <w:r w:rsidRPr="00A14D8A">
        <w:rPr>
          <w:rFonts w:ascii="Calibri" w:hAnsi="Calibri" w:cs="Calibri"/>
          <w:i/>
          <w:iCs/>
        </w:rPr>
        <w:t xml:space="preserve">“Residents should be protected from displacement as a result of conversion to </w:t>
      </w:r>
      <w:proofErr w:type="spellStart"/>
      <w:r w:rsidRPr="00A14D8A">
        <w:rPr>
          <w:rFonts w:ascii="Calibri" w:hAnsi="Calibri" w:cs="Calibri"/>
          <w:i/>
          <w:iCs/>
        </w:rPr>
        <w:t>TRA</w:t>
      </w:r>
      <w:proofErr w:type="spellEnd"/>
      <w:r w:rsidRPr="00A14D8A">
        <w:rPr>
          <w:rFonts w:ascii="Calibri" w:hAnsi="Calibri" w:cs="Calibri"/>
          <w:i/>
          <w:iCs/>
        </w:rPr>
        <w:t xml:space="preserve"> and should be guaranteed that they will not be subject to rescreening after conversion.” [participants in HUD’s resident engagement initiative, letter dated 4/14/2010]</w:t>
      </w:r>
    </w:p>
    <w:p w:rsidR="00BA369D" w:rsidRDefault="00BA369D" w:rsidP="003A3FD8">
      <w:pPr>
        <w:spacing w:before="120" w:after="120"/>
        <w:ind w:left="360"/>
        <w:rPr>
          <w:rFonts w:ascii="Calibri" w:hAnsi="Calibri" w:cs="Calibri"/>
        </w:rPr>
      </w:pPr>
      <w:r w:rsidRPr="00B671F3">
        <w:rPr>
          <w:rFonts w:ascii="Calibri" w:hAnsi="Calibri" w:cs="Calibri"/>
          <w:b/>
          <w:bCs/>
        </w:rPr>
        <w:lastRenderedPageBreak/>
        <w:t xml:space="preserve">HOW HUD RESPONDED: </w:t>
      </w:r>
      <w:r w:rsidRPr="00B671F3">
        <w:rPr>
          <w:rFonts w:ascii="Calibri" w:hAnsi="Calibri" w:cs="Calibri"/>
        </w:rPr>
        <w:t>For families relocated from converted properties while they are being rehabilitated (or in the event of demolition/replacement or a decision by HUD to transfer assistance to another property or properties), PETRA would require owners to pay for deposits and other relocation costs</w:t>
      </w:r>
      <w:r w:rsidR="00141C46">
        <w:rPr>
          <w:rFonts w:ascii="Calibri" w:hAnsi="Calibri" w:cs="Calibri"/>
        </w:rPr>
        <w:t xml:space="preserve"> (including ongoing rental costs)</w:t>
      </w:r>
      <w:r w:rsidRPr="00B671F3">
        <w:rPr>
          <w:rFonts w:ascii="Calibri" w:hAnsi="Calibri" w:cs="Calibri"/>
        </w:rPr>
        <w:t>, and authorizes the use of rental assistance or other funds for this purpose.</w:t>
      </w:r>
    </w:p>
    <w:p w:rsidR="008B5CBB" w:rsidRPr="00A14D8A" w:rsidRDefault="008B5CBB" w:rsidP="008B5CBB">
      <w:pPr>
        <w:pStyle w:val="ListParagraph"/>
        <w:numPr>
          <w:ilvl w:val="0"/>
          <w:numId w:val="1"/>
        </w:numPr>
        <w:spacing w:before="120" w:after="120"/>
        <w:rPr>
          <w:rFonts w:ascii="Calibri" w:hAnsi="Calibri" w:cs="Calibri"/>
          <w:i/>
          <w:iCs/>
        </w:rPr>
      </w:pPr>
      <w:r w:rsidRPr="00A14D8A">
        <w:rPr>
          <w:rFonts w:ascii="Calibri" w:hAnsi="Calibri" w:cs="Calibri"/>
          <w:i/>
          <w:iCs/>
        </w:rPr>
        <w:t xml:space="preserve">“Residents should be protected from displacement as a result of conversion to </w:t>
      </w:r>
      <w:proofErr w:type="spellStart"/>
      <w:r w:rsidRPr="00A14D8A">
        <w:rPr>
          <w:rFonts w:ascii="Calibri" w:hAnsi="Calibri" w:cs="Calibri"/>
          <w:i/>
          <w:iCs/>
        </w:rPr>
        <w:t>TRA</w:t>
      </w:r>
      <w:proofErr w:type="spellEnd"/>
      <w:r w:rsidRPr="00A14D8A">
        <w:rPr>
          <w:rFonts w:ascii="Calibri" w:hAnsi="Calibri" w:cs="Calibri"/>
          <w:i/>
          <w:iCs/>
        </w:rPr>
        <w:t xml:space="preserve"> and should be guaranteed that they will not be subject to rescreening after conversion.” [participants in HUD’s resident engagement initiative, letter dated 4/14/2010]</w:t>
      </w:r>
    </w:p>
    <w:p w:rsidR="008B5CBB" w:rsidRPr="00B671F3" w:rsidRDefault="008B5CBB" w:rsidP="003A3FD8">
      <w:pPr>
        <w:spacing w:before="120" w:after="120"/>
        <w:ind w:left="360"/>
        <w:rPr>
          <w:rFonts w:ascii="Calibri" w:hAnsi="Calibri" w:cs="Calibri"/>
        </w:rPr>
      </w:pPr>
      <w:r w:rsidRPr="00B671F3">
        <w:rPr>
          <w:rFonts w:ascii="Calibri" w:hAnsi="Calibri" w:cs="Calibri"/>
          <w:b/>
          <w:bCs/>
        </w:rPr>
        <w:t xml:space="preserve">HOW HUD RESPONDED: </w:t>
      </w:r>
      <w:r w:rsidRPr="00B671F3">
        <w:rPr>
          <w:rFonts w:ascii="Calibri" w:hAnsi="Calibri" w:cs="Calibri"/>
        </w:rPr>
        <w:t>PETRA would provide that conversion is not grounds for termination of tenancy and that “any family lawfully residing in a property at the time of a conversion of assistance…shall not be subject to rescreening or termination of assistance or eviction from the unit because of the conversion.”</w:t>
      </w:r>
    </w:p>
    <w:p w:rsidR="00BA369D" w:rsidRPr="00A14D8A" w:rsidRDefault="00BA369D" w:rsidP="003A3FD8">
      <w:pPr>
        <w:pStyle w:val="ListParagraph"/>
        <w:numPr>
          <w:ilvl w:val="0"/>
          <w:numId w:val="1"/>
        </w:numPr>
        <w:spacing w:before="120" w:after="120"/>
        <w:rPr>
          <w:rFonts w:ascii="Calibri" w:hAnsi="Calibri" w:cs="Calibri"/>
          <w:i/>
          <w:iCs/>
        </w:rPr>
      </w:pPr>
      <w:r w:rsidRPr="00A14D8A">
        <w:rPr>
          <w:rFonts w:ascii="Calibri" w:hAnsi="Calibri" w:cs="Calibri"/>
          <w:i/>
          <w:iCs/>
        </w:rPr>
        <w:t>“Any new program should explicitly give all tenants, including voucher holders, a right to organize.” [Housing Justice Network, letter dated 5/3/2010]</w:t>
      </w:r>
    </w:p>
    <w:p w:rsidR="00BA369D" w:rsidRPr="00B96808" w:rsidRDefault="00BA369D" w:rsidP="003A3FD8">
      <w:pPr>
        <w:spacing w:before="120" w:after="120"/>
        <w:ind w:left="360"/>
        <w:rPr>
          <w:rFonts w:ascii="Calibri" w:hAnsi="Calibri" w:cs="Calibri"/>
        </w:rPr>
      </w:pPr>
      <w:r w:rsidRPr="00B96808">
        <w:rPr>
          <w:rFonts w:ascii="Calibri" w:hAnsi="Calibri" w:cs="Calibri"/>
          <w:b/>
          <w:bCs/>
        </w:rPr>
        <w:t xml:space="preserve">HOW HUD RESPONDED: </w:t>
      </w:r>
      <w:r w:rsidRPr="00B96808">
        <w:rPr>
          <w:rFonts w:ascii="Calibri" w:hAnsi="Calibri" w:cs="Calibri"/>
        </w:rPr>
        <w:t>With respect to tenant organizing rights, PETRA directs the Secretary to provide that participants in all HUD-funded rental assistance programs, including voucher holders, will be assured the right to organize and that “legitimate” tenant organizations</w:t>
      </w:r>
      <w:r w:rsidR="00141C46">
        <w:rPr>
          <w:rFonts w:ascii="Calibri" w:hAnsi="Calibri" w:cs="Calibri"/>
        </w:rPr>
        <w:t xml:space="preserve">, as defined in the draft bill, </w:t>
      </w:r>
      <w:r w:rsidRPr="00B96808">
        <w:rPr>
          <w:rFonts w:ascii="Calibri" w:hAnsi="Calibri" w:cs="Calibri"/>
        </w:rPr>
        <w:t>must be recognized by owners and public housing agencies administering rental assistance.</w:t>
      </w:r>
    </w:p>
    <w:p w:rsidR="00BA369D" w:rsidRPr="00A14D8A" w:rsidRDefault="00BA369D" w:rsidP="003A3FD8">
      <w:pPr>
        <w:pStyle w:val="ListParagraph"/>
        <w:numPr>
          <w:ilvl w:val="0"/>
          <w:numId w:val="1"/>
        </w:numPr>
        <w:spacing w:before="120" w:after="120"/>
        <w:rPr>
          <w:rFonts w:ascii="Calibri" w:hAnsi="Calibri" w:cs="Calibri"/>
        </w:rPr>
      </w:pPr>
      <w:r w:rsidRPr="00A14D8A">
        <w:rPr>
          <w:rFonts w:ascii="Calibri" w:hAnsi="Calibri" w:cs="Calibri"/>
          <w:i/>
          <w:iCs/>
        </w:rPr>
        <w:t xml:space="preserve">“Ensure that any rule changes do not result in the ability of </w:t>
      </w:r>
      <w:proofErr w:type="spellStart"/>
      <w:r w:rsidRPr="00A14D8A">
        <w:rPr>
          <w:rFonts w:ascii="Calibri" w:hAnsi="Calibri" w:cs="Calibri"/>
          <w:i/>
          <w:iCs/>
        </w:rPr>
        <w:t>TRA</w:t>
      </w:r>
      <w:proofErr w:type="spellEnd"/>
      <w:r w:rsidRPr="00A14D8A">
        <w:rPr>
          <w:rFonts w:ascii="Calibri" w:hAnsi="Calibri" w:cs="Calibri"/>
          <w:i/>
          <w:iCs/>
        </w:rPr>
        <w:t>-converting owners to push heightened utility costs onto tenants.” [Housing Justice Network, letter dated 5/3/2010]</w:t>
      </w:r>
    </w:p>
    <w:p w:rsidR="00BA369D" w:rsidRPr="00B96808" w:rsidRDefault="00BA369D" w:rsidP="003A3FD8">
      <w:pPr>
        <w:spacing w:before="120" w:after="120"/>
        <w:ind w:left="360"/>
        <w:rPr>
          <w:rFonts w:ascii="Calibri" w:hAnsi="Calibri" w:cs="Calibri"/>
        </w:rPr>
      </w:pPr>
      <w:r w:rsidRPr="00B96808">
        <w:rPr>
          <w:rFonts w:ascii="Calibri" w:hAnsi="Calibri" w:cs="Calibri"/>
          <w:b/>
          <w:bCs/>
        </w:rPr>
        <w:t xml:space="preserve">HOW HUD RESPONDED: </w:t>
      </w:r>
      <w:r w:rsidRPr="00B96808">
        <w:rPr>
          <w:rFonts w:ascii="Calibri" w:hAnsi="Calibri" w:cs="Calibri"/>
        </w:rPr>
        <w:t xml:space="preserve">Under the new form of project-based Section 8 assistance authorized in PETRA, </w:t>
      </w:r>
      <w:r w:rsidR="00141C46">
        <w:rPr>
          <w:rFonts w:ascii="Calibri" w:hAnsi="Calibri" w:cs="Calibri"/>
        </w:rPr>
        <w:t xml:space="preserve">as well as under project-based vouchers, </w:t>
      </w:r>
      <w:r w:rsidRPr="00B96808">
        <w:rPr>
          <w:rFonts w:ascii="Calibri" w:hAnsi="Calibri" w:cs="Calibri"/>
        </w:rPr>
        <w:t>families will pay 30 percent of their adjusted income toward rent and utilities, just like under current law for public and assisted housing.</w:t>
      </w:r>
    </w:p>
    <w:p w:rsidR="00BA369D" w:rsidRPr="00A14D8A" w:rsidRDefault="00BA369D" w:rsidP="003A3FD8">
      <w:pPr>
        <w:pStyle w:val="ListParagraph"/>
        <w:numPr>
          <w:ilvl w:val="0"/>
          <w:numId w:val="1"/>
        </w:numPr>
        <w:spacing w:before="120" w:after="120"/>
        <w:rPr>
          <w:rFonts w:ascii="Calibri" w:hAnsi="Calibri" w:cs="Calibri"/>
          <w:i/>
          <w:iCs/>
        </w:rPr>
      </w:pPr>
      <w:r w:rsidRPr="00A14D8A">
        <w:rPr>
          <w:rFonts w:ascii="Calibri" w:hAnsi="Calibri" w:cs="Calibri"/>
          <w:i/>
          <w:iCs/>
        </w:rPr>
        <w:t xml:space="preserve">“HUD funded non-tenant tenant organizers have the right to organize in a building without an invitation by residents or notice or permission from owners…these protections…should be extended to Housing Choice Voucher tenants and Public Housing groups if they wish.” [National Alliance of HUD Tenants, document dated </w:t>
      </w:r>
      <w:r>
        <w:rPr>
          <w:rFonts w:ascii="Calibri" w:hAnsi="Calibri" w:cs="Calibri"/>
          <w:i/>
          <w:iCs/>
        </w:rPr>
        <w:t>4/11/2010</w:t>
      </w:r>
      <w:r w:rsidRPr="00A14D8A">
        <w:rPr>
          <w:rFonts w:ascii="Calibri" w:hAnsi="Calibri" w:cs="Calibri"/>
          <w:i/>
          <w:iCs/>
        </w:rPr>
        <w:t>]</w:t>
      </w:r>
    </w:p>
    <w:p w:rsidR="00BA369D" w:rsidRPr="00B96808" w:rsidRDefault="00BA369D" w:rsidP="00B96808">
      <w:pPr>
        <w:spacing w:before="120" w:after="120"/>
        <w:ind w:left="360"/>
        <w:rPr>
          <w:rFonts w:ascii="Calibri" w:hAnsi="Calibri" w:cs="Calibri"/>
        </w:rPr>
      </w:pPr>
      <w:r w:rsidRPr="00B96808">
        <w:rPr>
          <w:rFonts w:ascii="Calibri" w:hAnsi="Calibri" w:cs="Calibri"/>
          <w:b/>
          <w:bCs/>
        </w:rPr>
        <w:t xml:space="preserve">HOW HUD RESPONDED: </w:t>
      </w:r>
      <w:r w:rsidRPr="00B96808">
        <w:rPr>
          <w:rFonts w:ascii="Calibri" w:hAnsi="Calibri" w:cs="Calibri"/>
        </w:rPr>
        <w:t xml:space="preserve">Under PETRA, a tenant organization would be independent of the public housing agency, owner, management, or representatives of such entities. PETRA defines a legitimate tenant organization to include </w:t>
      </w:r>
      <w:r>
        <w:rPr>
          <w:rFonts w:ascii="Calibri" w:hAnsi="Calibri" w:cs="Calibri"/>
        </w:rPr>
        <w:t>an organization comprised of v</w:t>
      </w:r>
      <w:r w:rsidRPr="00B96808">
        <w:rPr>
          <w:rFonts w:ascii="Calibri" w:hAnsi="Calibri" w:cs="Calibri"/>
        </w:rPr>
        <w:t>oucher program participants.</w:t>
      </w:r>
    </w:p>
    <w:p w:rsidR="00BA369D" w:rsidRPr="00A14D8A" w:rsidRDefault="00BA369D" w:rsidP="00EA4172">
      <w:pPr>
        <w:pStyle w:val="ListParagraph"/>
        <w:numPr>
          <w:ilvl w:val="0"/>
          <w:numId w:val="1"/>
        </w:numPr>
        <w:spacing w:before="120" w:after="120"/>
        <w:rPr>
          <w:rFonts w:ascii="Calibri" w:hAnsi="Calibri" w:cs="Calibri"/>
          <w:i/>
          <w:iCs/>
        </w:rPr>
      </w:pPr>
      <w:r w:rsidRPr="00A14D8A">
        <w:rPr>
          <w:rFonts w:ascii="Calibri" w:hAnsi="Calibri" w:cs="Calibri"/>
          <w:i/>
          <w:iCs/>
        </w:rPr>
        <w:t xml:space="preserve">“Will HUD support extension of individual grievance and eviction hearing rights to Multifamily tenants, to allow HUD tenants the right to a HUD administrative hearing before owners can proceed to eviction?” [National Alliance of HUD Tenants, document dated </w:t>
      </w:r>
      <w:r>
        <w:rPr>
          <w:rFonts w:ascii="Calibri" w:hAnsi="Calibri" w:cs="Calibri"/>
          <w:i/>
          <w:iCs/>
        </w:rPr>
        <w:t>4/11/2010</w:t>
      </w:r>
      <w:r w:rsidRPr="00A14D8A">
        <w:rPr>
          <w:rFonts w:ascii="Calibri" w:hAnsi="Calibri" w:cs="Calibri"/>
          <w:i/>
          <w:iCs/>
        </w:rPr>
        <w:t>]</w:t>
      </w:r>
    </w:p>
    <w:p w:rsidR="00BA369D" w:rsidRPr="00EA4172" w:rsidRDefault="00BA369D" w:rsidP="00EA4172">
      <w:pPr>
        <w:ind w:left="360"/>
        <w:rPr>
          <w:rFonts w:ascii="Calibri" w:hAnsi="Calibri" w:cs="Calibri"/>
        </w:rPr>
      </w:pPr>
      <w:r w:rsidRPr="00EA4172">
        <w:rPr>
          <w:rFonts w:ascii="Calibri" w:hAnsi="Calibri" w:cs="Calibri"/>
          <w:b/>
          <w:bCs/>
        </w:rPr>
        <w:t xml:space="preserve">HOW HUD RESPONDED: </w:t>
      </w:r>
      <w:r w:rsidRPr="00EA4172">
        <w:rPr>
          <w:rFonts w:ascii="Calibri" w:hAnsi="Calibri" w:cs="Calibri"/>
        </w:rPr>
        <w:t xml:space="preserve">PETRA would authorize the Secretary to establish uniform procedural rights for all tenants of HUD-funded rental assistance programs, including with respect to notice requirements and adverse actions, </w:t>
      </w:r>
      <w:r w:rsidRPr="00EA4172">
        <w:rPr>
          <w:rFonts w:ascii="Calibri" w:hAnsi="Calibri" w:cs="Calibri"/>
        </w:rPr>
        <w:lastRenderedPageBreak/>
        <w:t xml:space="preserve">including eviction or termination of assistance. The bill includes requirements </w:t>
      </w:r>
      <w:r w:rsidR="00141C46">
        <w:rPr>
          <w:rFonts w:ascii="Calibri" w:hAnsi="Calibri" w:cs="Calibri"/>
        </w:rPr>
        <w:t>for</w:t>
      </w:r>
      <w:r w:rsidRPr="00EA4172">
        <w:rPr>
          <w:rFonts w:ascii="Calibri" w:hAnsi="Calibri" w:cs="Calibri"/>
        </w:rPr>
        <w:t xml:space="preserve"> review </w:t>
      </w:r>
      <w:r w:rsidR="00141C46">
        <w:rPr>
          <w:rFonts w:ascii="Calibri" w:hAnsi="Calibri" w:cs="Calibri"/>
        </w:rPr>
        <w:t xml:space="preserve">of an adverse action </w:t>
      </w:r>
      <w:r w:rsidRPr="00EA4172">
        <w:rPr>
          <w:rFonts w:ascii="Calibri" w:hAnsi="Calibri" w:cs="Calibri"/>
        </w:rPr>
        <w:t xml:space="preserve">by an independent person (but not HUD), </w:t>
      </w:r>
      <w:r w:rsidR="00141C46">
        <w:rPr>
          <w:rFonts w:ascii="Calibri" w:hAnsi="Calibri" w:cs="Calibri"/>
        </w:rPr>
        <w:t>advance inspection</w:t>
      </w:r>
      <w:r w:rsidR="00141C46" w:rsidRPr="00EA4172">
        <w:rPr>
          <w:rFonts w:ascii="Calibri" w:hAnsi="Calibri" w:cs="Calibri"/>
        </w:rPr>
        <w:t xml:space="preserve"> </w:t>
      </w:r>
      <w:r w:rsidRPr="00EA4172">
        <w:rPr>
          <w:rFonts w:ascii="Calibri" w:hAnsi="Calibri" w:cs="Calibri"/>
        </w:rPr>
        <w:t>of relevant documents, and right of the applicant or tenant to bring a representative.</w:t>
      </w:r>
      <w:r w:rsidR="00141C46">
        <w:rPr>
          <w:rFonts w:ascii="Calibri" w:hAnsi="Calibri" w:cs="Calibri"/>
        </w:rPr>
        <w:t xml:space="preserve">  (Neither public housing nor voucher tenants now have the right to an administrative hearing conducted by HUD staff.)</w:t>
      </w:r>
    </w:p>
    <w:p w:rsidR="00BA369D" w:rsidRPr="009019FA" w:rsidRDefault="00BA369D" w:rsidP="00EA4172">
      <w:pPr>
        <w:rPr>
          <w:rStyle w:val="IntenseReference"/>
          <w:rFonts w:ascii="Calibri" w:hAnsi="Calibri" w:cs="Calibri"/>
        </w:rPr>
      </w:pPr>
      <w:r>
        <w:rPr>
          <w:rStyle w:val="IntenseReference"/>
          <w:rFonts w:ascii="Calibri" w:hAnsi="Calibri" w:cs="Calibri"/>
        </w:rPr>
        <w:t>Adopt a Streamlined Rental Assistance Transfer Option</w:t>
      </w:r>
    </w:p>
    <w:p w:rsidR="00BA369D" w:rsidRPr="00A14D8A" w:rsidRDefault="00BA369D" w:rsidP="00C15B94">
      <w:pPr>
        <w:pStyle w:val="ListParagraph"/>
        <w:numPr>
          <w:ilvl w:val="0"/>
          <w:numId w:val="1"/>
        </w:numPr>
        <w:spacing w:before="120" w:after="120"/>
        <w:rPr>
          <w:rFonts w:ascii="Calibri" w:hAnsi="Calibri" w:cs="Calibri"/>
          <w:i/>
          <w:iCs/>
        </w:rPr>
      </w:pPr>
      <w:r w:rsidRPr="00A14D8A">
        <w:rPr>
          <w:rFonts w:ascii="Calibri" w:hAnsi="Calibri" w:cs="Calibri"/>
          <w:i/>
          <w:iCs/>
        </w:rPr>
        <w:t>“Approve the transfer of HUD project-based assistance from one multi-family development to another.” [Minnesota Housing Finance Agency, letter dated 3/10/2010]</w:t>
      </w:r>
    </w:p>
    <w:p w:rsidR="00BA369D" w:rsidRPr="00A14D8A" w:rsidRDefault="00BA369D" w:rsidP="00C15B94">
      <w:pPr>
        <w:pStyle w:val="ListParagraph"/>
        <w:numPr>
          <w:ilvl w:val="0"/>
          <w:numId w:val="1"/>
        </w:numPr>
        <w:spacing w:before="120" w:after="120"/>
        <w:rPr>
          <w:rFonts w:ascii="Calibri" w:hAnsi="Calibri" w:cs="Calibri"/>
          <w:i/>
          <w:iCs/>
        </w:rPr>
      </w:pPr>
      <w:r w:rsidRPr="00A14D8A">
        <w:rPr>
          <w:rFonts w:ascii="Calibri" w:hAnsi="Calibri" w:cs="Calibri"/>
          <w:i/>
          <w:iCs/>
        </w:rPr>
        <w:t>“Federal policy should ensure the preservation [of] the existing project-based rental assistance subsidies associated with obsolete properties and allow these units to be transferred to other properties or new developments in the same community or area to ensure no net loss in affordable units available to eligible households.” [Stewards of Affordable Housing for the Future, letter dated 5/8/2010]</w:t>
      </w:r>
    </w:p>
    <w:p w:rsidR="00BA369D" w:rsidRPr="002D162B" w:rsidRDefault="00BA369D" w:rsidP="002D162B">
      <w:pPr>
        <w:spacing w:before="120" w:after="120"/>
        <w:ind w:left="360"/>
        <w:rPr>
          <w:rFonts w:ascii="Calibri" w:hAnsi="Calibri" w:cs="Calibri"/>
        </w:rPr>
      </w:pPr>
      <w:r w:rsidRPr="002D162B">
        <w:rPr>
          <w:rFonts w:ascii="Calibri" w:hAnsi="Calibri" w:cs="Calibri"/>
          <w:b/>
          <w:bCs/>
        </w:rPr>
        <w:t xml:space="preserve">HOW HUD RESPONDED: </w:t>
      </w:r>
      <w:r w:rsidRPr="002D162B">
        <w:rPr>
          <w:rFonts w:ascii="Calibri" w:hAnsi="Calibri" w:cs="Calibri"/>
        </w:rPr>
        <w:t xml:space="preserve">PETRA provides that owners of converted properties may request the Secretary’s consent to move all or a portion of assistance from one property to another. </w:t>
      </w:r>
      <w:r w:rsidR="009A3D59">
        <w:rPr>
          <w:rFonts w:ascii="Calibri" w:hAnsi="Calibri" w:cs="Calibri"/>
        </w:rPr>
        <w:t>In such cases, PETRA</w:t>
      </w:r>
      <w:r w:rsidRPr="002D162B">
        <w:rPr>
          <w:rFonts w:ascii="Calibri" w:hAnsi="Calibri" w:cs="Calibri"/>
        </w:rPr>
        <w:t xml:space="preserve"> requir</w:t>
      </w:r>
      <w:r w:rsidR="009A3D59">
        <w:rPr>
          <w:rFonts w:ascii="Calibri" w:hAnsi="Calibri" w:cs="Calibri"/>
        </w:rPr>
        <w:t>es</w:t>
      </w:r>
      <w:r w:rsidRPr="002D162B">
        <w:rPr>
          <w:rFonts w:ascii="Calibri" w:hAnsi="Calibri" w:cs="Calibri"/>
        </w:rPr>
        <w:t xml:space="preserve"> notice to and consultation with tenants</w:t>
      </w:r>
      <w:r w:rsidR="009A3D59">
        <w:rPr>
          <w:rFonts w:ascii="Calibri" w:hAnsi="Calibri" w:cs="Calibri"/>
        </w:rPr>
        <w:t xml:space="preserve"> and</w:t>
      </w:r>
      <w:r w:rsidR="009A3D59" w:rsidRPr="002D162B">
        <w:rPr>
          <w:rFonts w:ascii="Calibri" w:hAnsi="Calibri" w:cs="Calibri"/>
        </w:rPr>
        <w:t xml:space="preserve"> assist</w:t>
      </w:r>
      <w:r w:rsidR="009A3D59">
        <w:rPr>
          <w:rFonts w:ascii="Calibri" w:hAnsi="Calibri" w:cs="Calibri"/>
        </w:rPr>
        <w:t>ance to</w:t>
      </w:r>
      <w:r w:rsidR="009A3D59" w:rsidRPr="002D162B">
        <w:rPr>
          <w:rFonts w:ascii="Calibri" w:hAnsi="Calibri" w:cs="Calibri"/>
        </w:rPr>
        <w:t xml:space="preserve"> </w:t>
      </w:r>
      <w:r w:rsidRPr="002D162B">
        <w:rPr>
          <w:rFonts w:ascii="Calibri" w:hAnsi="Calibri" w:cs="Calibri"/>
        </w:rPr>
        <w:t>tenants in relocating, set</w:t>
      </w:r>
      <w:r w:rsidR="009A3D59">
        <w:rPr>
          <w:rFonts w:ascii="Calibri" w:hAnsi="Calibri" w:cs="Calibri"/>
        </w:rPr>
        <w:t>s</w:t>
      </w:r>
      <w:r w:rsidRPr="002D162B">
        <w:rPr>
          <w:rFonts w:ascii="Calibri" w:hAnsi="Calibri" w:cs="Calibri"/>
        </w:rPr>
        <w:t xml:space="preserve"> location requirements for any replacement units, and </w:t>
      </w:r>
      <w:r w:rsidR="009A3D59" w:rsidRPr="002D162B">
        <w:rPr>
          <w:rFonts w:ascii="Calibri" w:hAnsi="Calibri" w:cs="Calibri"/>
        </w:rPr>
        <w:t>requir</w:t>
      </w:r>
      <w:r w:rsidR="009A3D59">
        <w:rPr>
          <w:rFonts w:ascii="Calibri" w:hAnsi="Calibri" w:cs="Calibri"/>
        </w:rPr>
        <w:t>es</w:t>
      </w:r>
      <w:r w:rsidR="009A3D59" w:rsidRPr="002D162B">
        <w:rPr>
          <w:rFonts w:ascii="Calibri" w:hAnsi="Calibri" w:cs="Calibri"/>
        </w:rPr>
        <w:t xml:space="preserve"> </w:t>
      </w:r>
      <w:r w:rsidRPr="002D162B">
        <w:rPr>
          <w:rFonts w:ascii="Calibri" w:hAnsi="Calibri" w:cs="Calibri"/>
        </w:rPr>
        <w:t>a continuation of existing use restrictions</w:t>
      </w:r>
      <w:r w:rsidR="009A3D59">
        <w:rPr>
          <w:rFonts w:ascii="Calibri" w:hAnsi="Calibri" w:cs="Calibri"/>
        </w:rPr>
        <w:t xml:space="preserve">. </w:t>
      </w:r>
      <w:r w:rsidRPr="002D162B">
        <w:rPr>
          <w:rFonts w:ascii="Calibri" w:hAnsi="Calibri" w:cs="Calibri"/>
        </w:rPr>
        <w:t>This transfer authority differs significantly from the transfer authority enacted most recently by Congress, for which only physically or economically obsolete properties are eligible and nine additional conditions apply.</w:t>
      </w:r>
    </w:p>
    <w:p w:rsidR="00BA369D" w:rsidRPr="009019FA" w:rsidRDefault="00BA369D" w:rsidP="00C15B94">
      <w:pPr>
        <w:rPr>
          <w:rStyle w:val="IntenseReference"/>
          <w:rFonts w:ascii="Calibri" w:hAnsi="Calibri" w:cs="Calibri"/>
        </w:rPr>
      </w:pPr>
      <w:r>
        <w:rPr>
          <w:rStyle w:val="IntenseReference"/>
          <w:rFonts w:ascii="Calibri" w:hAnsi="Calibri" w:cs="Calibri"/>
        </w:rPr>
        <w:t>Promote Resident Choice While Safeguarding Property Operations</w:t>
      </w:r>
    </w:p>
    <w:p w:rsidR="00BA369D" w:rsidRPr="00A14D8A" w:rsidRDefault="00BA369D" w:rsidP="00C15B94">
      <w:pPr>
        <w:pStyle w:val="ListParagraph"/>
        <w:numPr>
          <w:ilvl w:val="0"/>
          <w:numId w:val="1"/>
        </w:numPr>
        <w:spacing w:before="120" w:after="120"/>
        <w:rPr>
          <w:rFonts w:ascii="Calibri" w:hAnsi="Calibri" w:cs="Calibri"/>
          <w:i/>
          <w:iCs/>
        </w:rPr>
      </w:pPr>
      <w:r w:rsidRPr="00A14D8A">
        <w:rPr>
          <w:rFonts w:ascii="Calibri" w:hAnsi="Calibri" w:cs="Calibri"/>
          <w:i/>
          <w:iCs/>
        </w:rPr>
        <w:t xml:space="preserve">“How will HUD preserve and safeguard affordable units if too many tenants move out of a </w:t>
      </w:r>
      <w:proofErr w:type="spellStart"/>
      <w:r w:rsidRPr="00A14D8A">
        <w:rPr>
          <w:rFonts w:ascii="Calibri" w:hAnsi="Calibri" w:cs="Calibri"/>
          <w:i/>
          <w:iCs/>
        </w:rPr>
        <w:t>TRA</w:t>
      </w:r>
      <w:proofErr w:type="spellEnd"/>
      <w:r w:rsidRPr="00A14D8A">
        <w:rPr>
          <w:rFonts w:ascii="Calibri" w:hAnsi="Calibri" w:cs="Calibri"/>
          <w:i/>
          <w:iCs/>
        </w:rPr>
        <w:t xml:space="preserve"> assisted building?” [National Alliance of HUD Tenants, document dated </w:t>
      </w:r>
      <w:r>
        <w:rPr>
          <w:rFonts w:ascii="Calibri" w:hAnsi="Calibri" w:cs="Calibri"/>
          <w:i/>
          <w:iCs/>
        </w:rPr>
        <w:t>4/11/2010</w:t>
      </w:r>
      <w:r w:rsidRPr="00A14D8A">
        <w:rPr>
          <w:rFonts w:ascii="Calibri" w:hAnsi="Calibri" w:cs="Calibri"/>
          <w:i/>
          <w:iCs/>
        </w:rPr>
        <w:t>]</w:t>
      </w:r>
    </w:p>
    <w:p w:rsidR="00BA369D" w:rsidRPr="00337D39" w:rsidRDefault="00BA369D" w:rsidP="00A14D8A">
      <w:pPr>
        <w:spacing w:before="120" w:after="120"/>
        <w:ind w:left="360"/>
        <w:rPr>
          <w:rFonts w:ascii="Calibri" w:hAnsi="Calibri" w:cs="Calibri"/>
        </w:rPr>
      </w:pPr>
      <w:r w:rsidRPr="00337D39">
        <w:rPr>
          <w:rFonts w:ascii="Calibri" w:hAnsi="Calibri" w:cs="Calibri"/>
          <w:b/>
          <w:bCs/>
        </w:rPr>
        <w:t xml:space="preserve">HOW HUD RESPONDED: </w:t>
      </w:r>
      <w:r w:rsidRPr="00337D39">
        <w:rPr>
          <w:rFonts w:ascii="Calibri" w:hAnsi="Calibri" w:cs="Calibri"/>
        </w:rPr>
        <w:t>If tenants move out (with a voucher provided under the Choice Option or otherwise) the subsidy remains with the unit and another eligible family can move in. Owners may receive subsidy payments for vacant units for up to 60 days. If the property is so undesirable that despite these policies – and measures HUD would take to enforce physical standards — the property is not viable, then the Secretary would be authorized to transfer the rental assistance contract to one or more other properties. Tenants would have the option of moving to the new property or properties, with moving expenses covered in addition to any required security deposit or similar types of expenses if the owner of the unit(s) to which the assistance is transferred is not a public housing agency. Tenants choosing not to move to the new property or properties would be provided voucher assistance.</w:t>
      </w:r>
    </w:p>
    <w:p w:rsidR="00BA369D" w:rsidRPr="00A14D8A" w:rsidRDefault="00BA369D" w:rsidP="00A14D8A">
      <w:pPr>
        <w:pStyle w:val="ListParagraph"/>
        <w:numPr>
          <w:ilvl w:val="0"/>
          <w:numId w:val="1"/>
        </w:numPr>
        <w:spacing w:before="120" w:after="120"/>
        <w:rPr>
          <w:rFonts w:ascii="Calibri" w:hAnsi="Calibri" w:cs="Calibri"/>
          <w:i/>
          <w:iCs/>
        </w:rPr>
      </w:pPr>
      <w:r w:rsidRPr="00A14D8A">
        <w:rPr>
          <w:rFonts w:ascii="Calibri" w:hAnsi="Calibri" w:cs="Calibri"/>
          <w:i/>
          <w:iCs/>
        </w:rPr>
        <w:t xml:space="preserve">“HUD should require </w:t>
      </w:r>
      <w:proofErr w:type="spellStart"/>
      <w:r w:rsidRPr="00A14D8A">
        <w:rPr>
          <w:rFonts w:ascii="Calibri" w:hAnsi="Calibri" w:cs="Calibri"/>
          <w:i/>
          <w:iCs/>
        </w:rPr>
        <w:t>PHAs</w:t>
      </w:r>
      <w:proofErr w:type="spellEnd"/>
      <w:r w:rsidRPr="00A14D8A">
        <w:rPr>
          <w:rFonts w:ascii="Calibri" w:hAnsi="Calibri" w:cs="Calibri"/>
          <w:i/>
          <w:iCs/>
        </w:rPr>
        <w:t xml:space="preserve"> to give priority on their voucher waiting lists for households in </w:t>
      </w:r>
      <w:proofErr w:type="spellStart"/>
      <w:r w:rsidRPr="00A14D8A">
        <w:rPr>
          <w:rFonts w:ascii="Calibri" w:hAnsi="Calibri" w:cs="Calibri"/>
          <w:i/>
          <w:iCs/>
        </w:rPr>
        <w:t>TRA</w:t>
      </w:r>
      <w:proofErr w:type="spellEnd"/>
      <w:r w:rsidRPr="00A14D8A">
        <w:rPr>
          <w:rFonts w:ascii="Calibri" w:hAnsi="Calibri" w:cs="Calibri"/>
          <w:i/>
          <w:iCs/>
        </w:rPr>
        <w:t xml:space="preserve"> developments who seek to utilize the mobility choice…up to 1/3 of their turnover vouchers.” [participants in HUD’s resident engagement initiative, letter dated 4/14/2010]</w:t>
      </w:r>
    </w:p>
    <w:p w:rsidR="00BA369D" w:rsidRPr="00A14D8A" w:rsidRDefault="00BA369D" w:rsidP="001D129E">
      <w:pPr>
        <w:pStyle w:val="ListParagraph"/>
        <w:numPr>
          <w:ilvl w:val="0"/>
          <w:numId w:val="1"/>
        </w:numPr>
        <w:spacing w:before="120" w:after="120"/>
        <w:rPr>
          <w:rFonts w:ascii="Calibri" w:hAnsi="Calibri" w:cs="Calibri"/>
          <w:i/>
          <w:iCs/>
        </w:rPr>
      </w:pPr>
      <w:r w:rsidRPr="00A14D8A">
        <w:rPr>
          <w:rFonts w:ascii="Calibri" w:hAnsi="Calibri" w:cs="Calibri"/>
          <w:i/>
          <w:iCs/>
        </w:rPr>
        <w:lastRenderedPageBreak/>
        <w:t>“Funds should be provided for security and utility deposits and relocation costs.” [participants in HUD’s resident engagement initiative, letter dated 4/14/2010]</w:t>
      </w:r>
    </w:p>
    <w:p w:rsidR="00BA369D" w:rsidRPr="001D129E" w:rsidRDefault="00BA369D" w:rsidP="00A14D8A">
      <w:pPr>
        <w:spacing w:before="120" w:after="120"/>
        <w:ind w:left="360"/>
        <w:rPr>
          <w:rFonts w:ascii="Calibri" w:hAnsi="Calibri" w:cs="Calibri"/>
        </w:rPr>
      </w:pPr>
      <w:r w:rsidRPr="001D129E">
        <w:rPr>
          <w:rFonts w:ascii="Calibri" w:hAnsi="Calibri" w:cs="Calibri"/>
          <w:b/>
          <w:bCs/>
        </w:rPr>
        <w:t xml:space="preserve">HOW HUD RESPONDED: </w:t>
      </w:r>
      <w:r w:rsidRPr="001D129E">
        <w:rPr>
          <w:rFonts w:ascii="Calibri" w:hAnsi="Calibri" w:cs="Calibri"/>
        </w:rPr>
        <w:t>PETRA specifies that a public housing agency that administers vouchers and owns a property selected for conversion “shall make available to eligible families who choose to move under the Choice Option…not more than one-third of the vouchers that become available each year as a result of turnover.” An agency selected to administer rental assistance also could be subject to a similar requirement to make more moving vouchers available to residents of converted properties. Families who are not displaced and choose to move with vouchers must pay their own moving costs.</w:t>
      </w:r>
    </w:p>
    <w:p w:rsidR="00BA369D" w:rsidRPr="00A14D8A" w:rsidRDefault="00BA369D" w:rsidP="009F0D8D">
      <w:pPr>
        <w:pStyle w:val="ListParagraph"/>
        <w:numPr>
          <w:ilvl w:val="0"/>
          <w:numId w:val="1"/>
        </w:numPr>
        <w:spacing w:before="120" w:after="120"/>
        <w:rPr>
          <w:rFonts w:ascii="Calibri" w:hAnsi="Calibri" w:cs="Calibri"/>
          <w:i/>
          <w:iCs/>
        </w:rPr>
      </w:pPr>
      <w:r w:rsidRPr="00A14D8A">
        <w:rPr>
          <w:rFonts w:ascii="Calibri" w:hAnsi="Calibri" w:cs="Calibri"/>
          <w:i/>
          <w:iCs/>
        </w:rPr>
        <w:t>“Policy could enhance the housing choices for low-income people by focusing on the affordable housing needs of the entire metropolitan area and on policies to encourage new affordable housing developments consistent with the broader community’s growth strategies.” [Stewards of Affordable Housing for the Future, letter dated 5/8/2010]</w:t>
      </w:r>
    </w:p>
    <w:p w:rsidR="00BA369D" w:rsidRPr="009F0D8D" w:rsidRDefault="00BA369D" w:rsidP="009F0D8D">
      <w:pPr>
        <w:spacing w:before="120" w:after="120"/>
        <w:ind w:left="360"/>
        <w:rPr>
          <w:rFonts w:ascii="Calibri" w:hAnsi="Calibri" w:cs="Calibri"/>
        </w:rPr>
      </w:pPr>
      <w:r w:rsidRPr="009F0D8D">
        <w:rPr>
          <w:rFonts w:ascii="Calibri" w:hAnsi="Calibri" w:cs="Calibri"/>
          <w:b/>
          <w:bCs/>
        </w:rPr>
        <w:t xml:space="preserve">HOW HUD RESPONDED: </w:t>
      </w:r>
      <w:r w:rsidRPr="009F0D8D">
        <w:rPr>
          <w:rFonts w:ascii="Calibri" w:hAnsi="Calibri" w:cs="Calibri"/>
        </w:rPr>
        <w:t xml:space="preserve">PETRA </w:t>
      </w:r>
      <w:r w:rsidR="00D05766">
        <w:rPr>
          <w:rFonts w:ascii="Calibri" w:hAnsi="Calibri" w:cs="Calibri"/>
        </w:rPr>
        <w:t xml:space="preserve">does not address housing planning, but does include a number of provisions designed to increase the availability of affordable housing options.  PETRA allows the Secretary to facilitate the implementation of measures to streamline administration of rental assistance on an area-wide basis to increase informed choice and mobility.  In addition, PETRA </w:t>
      </w:r>
      <w:r w:rsidRPr="009F0D8D">
        <w:rPr>
          <w:rFonts w:ascii="Calibri" w:hAnsi="Calibri" w:cs="Calibri"/>
        </w:rPr>
        <w:t xml:space="preserve">would revise the definition of a public housing agency for purposes of administering rental assistance </w:t>
      </w:r>
      <w:r w:rsidR="00D05766">
        <w:rPr>
          <w:rFonts w:ascii="Calibri" w:hAnsi="Calibri" w:cs="Calibri"/>
        </w:rPr>
        <w:t xml:space="preserve">(including the contracts for converted properties) </w:t>
      </w:r>
      <w:r w:rsidRPr="009F0D8D">
        <w:rPr>
          <w:rFonts w:ascii="Calibri" w:hAnsi="Calibri" w:cs="Calibri"/>
        </w:rPr>
        <w:t xml:space="preserve">to include a not-for-profit entity and would make it possible for a consortium of public housing agencies to be represented by one or more legal entities. The intent of this authority is to facilitate the administration of rental assistance for larger geographic areas than is currently the norm. Among the types of rental assistance to be administered is </w:t>
      </w:r>
      <w:proofErr w:type="spellStart"/>
      <w:r w:rsidRPr="009F0D8D">
        <w:rPr>
          <w:rFonts w:ascii="Calibri" w:hAnsi="Calibri" w:cs="Calibri"/>
        </w:rPr>
        <w:t>PBV</w:t>
      </w:r>
      <w:proofErr w:type="spellEnd"/>
      <w:r w:rsidRPr="009F0D8D">
        <w:rPr>
          <w:rFonts w:ascii="Calibri" w:hAnsi="Calibri" w:cs="Calibri"/>
        </w:rPr>
        <w:t xml:space="preserve"> assistance, which can be leveraged to develop new, primarily mixed-income housing, using existing budget authority.</w:t>
      </w:r>
    </w:p>
    <w:p w:rsidR="00BA369D" w:rsidRPr="009019FA" w:rsidRDefault="00BA369D" w:rsidP="00837ABA">
      <w:pPr>
        <w:spacing w:before="120" w:after="120"/>
        <w:rPr>
          <w:rStyle w:val="IntenseReference"/>
          <w:rFonts w:ascii="Calibri" w:hAnsi="Calibri" w:cs="Calibri"/>
        </w:rPr>
      </w:pPr>
      <w:r w:rsidRPr="00A14D8A">
        <w:rPr>
          <w:rStyle w:val="IntenseReference"/>
          <w:rFonts w:ascii="Calibri" w:hAnsi="Calibri" w:cs="Calibri"/>
        </w:rPr>
        <w:t>Create More Uniform Policies Across Programs</w:t>
      </w:r>
    </w:p>
    <w:p w:rsidR="00BA369D" w:rsidRPr="00A14D8A" w:rsidRDefault="00BA369D" w:rsidP="00837ABA">
      <w:pPr>
        <w:pStyle w:val="ListParagraph"/>
        <w:numPr>
          <w:ilvl w:val="0"/>
          <w:numId w:val="1"/>
        </w:numPr>
        <w:spacing w:before="120" w:after="120"/>
        <w:rPr>
          <w:rFonts w:ascii="Calibri" w:hAnsi="Calibri" w:cs="Calibri"/>
          <w:i/>
          <w:iCs/>
        </w:rPr>
      </w:pPr>
      <w:r w:rsidRPr="00A14D8A">
        <w:rPr>
          <w:rFonts w:ascii="Calibri" w:hAnsi="Calibri" w:cs="Calibri"/>
          <w:i/>
          <w:iCs/>
        </w:rPr>
        <w:t>“The common and consistent application of the rules and regulations across the entire project-based rental assistance program would save considerable time and money.” [Housing Partnership Network, Stewards of Affordable Housing for the Future, letter dated 2/17/2010]</w:t>
      </w:r>
    </w:p>
    <w:p w:rsidR="00BA369D" w:rsidRPr="00837ABA" w:rsidRDefault="00BA369D" w:rsidP="00837ABA">
      <w:pPr>
        <w:spacing w:before="120" w:after="120"/>
        <w:ind w:left="360"/>
        <w:rPr>
          <w:rFonts w:ascii="Calibri" w:hAnsi="Calibri" w:cs="Calibri"/>
        </w:rPr>
      </w:pPr>
      <w:r w:rsidRPr="00837ABA">
        <w:rPr>
          <w:rFonts w:ascii="Calibri" w:hAnsi="Calibri" w:cs="Calibri"/>
          <w:b/>
          <w:bCs/>
        </w:rPr>
        <w:t xml:space="preserve">HOW HUD RESPONDED: </w:t>
      </w:r>
      <w:r w:rsidRPr="00837ABA">
        <w:rPr>
          <w:rFonts w:ascii="Calibri" w:hAnsi="Calibri" w:cs="Calibri"/>
        </w:rPr>
        <w:t xml:space="preserve">PETRA would authorize a new section </w:t>
      </w:r>
      <w:r w:rsidR="006615A6">
        <w:rPr>
          <w:rFonts w:ascii="Calibri" w:hAnsi="Calibri" w:cs="Calibri"/>
        </w:rPr>
        <w:t>8</w:t>
      </w:r>
      <w:r w:rsidRPr="00837ABA">
        <w:rPr>
          <w:rFonts w:ascii="Calibri" w:hAnsi="Calibri" w:cs="Calibri"/>
        </w:rPr>
        <w:t xml:space="preserve">(m) in the U.S. Housing Act of 1937. </w:t>
      </w:r>
      <w:r w:rsidR="006615A6" w:rsidRPr="00837ABA">
        <w:rPr>
          <w:rFonts w:ascii="Calibri" w:hAnsi="Calibri" w:cs="Calibri"/>
        </w:rPr>
        <w:t>Section</w:t>
      </w:r>
      <w:r w:rsidR="006615A6">
        <w:rPr>
          <w:rFonts w:ascii="Calibri" w:hAnsi="Calibri" w:cs="Calibri"/>
        </w:rPr>
        <w:t xml:space="preserve"> 8</w:t>
      </w:r>
      <w:r w:rsidRPr="00837ABA">
        <w:rPr>
          <w:rFonts w:ascii="Calibri" w:hAnsi="Calibri" w:cs="Calibri"/>
        </w:rPr>
        <w:t>(m</w:t>
      </w:r>
      <w:proofErr w:type="gramStart"/>
      <w:r w:rsidRPr="00837ABA">
        <w:rPr>
          <w:rFonts w:ascii="Calibri" w:hAnsi="Calibri" w:cs="Calibri"/>
        </w:rPr>
        <w:t>)(</w:t>
      </w:r>
      <w:proofErr w:type="gramEnd"/>
      <w:r w:rsidRPr="00837ABA">
        <w:rPr>
          <w:rFonts w:ascii="Calibri" w:hAnsi="Calibri" w:cs="Calibri"/>
        </w:rPr>
        <w:t>1) would authorize the Secretary to establish uniform policies and procedures for converted properties and for other rental assistance programs funded by the Secretary, “to the extent not inconsistent with authorizing statutes.”</w:t>
      </w:r>
    </w:p>
    <w:p w:rsidR="00BA369D" w:rsidRDefault="00BA369D" w:rsidP="00837ABA">
      <w:pPr>
        <w:pStyle w:val="ListParagraph"/>
        <w:numPr>
          <w:ilvl w:val="0"/>
          <w:numId w:val="1"/>
        </w:numPr>
        <w:spacing w:before="120" w:after="120"/>
        <w:rPr>
          <w:rFonts w:ascii="Calibri" w:hAnsi="Calibri" w:cs="Calibri"/>
          <w:i/>
          <w:iCs/>
        </w:rPr>
      </w:pPr>
      <w:r w:rsidRPr="00A14D8A">
        <w:rPr>
          <w:rFonts w:ascii="Calibri" w:hAnsi="Calibri" w:cs="Calibri"/>
          <w:i/>
          <w:iCs/>
        </w:rPr>
        <w:t>“We…support an agenda to phase out the old legacy programs.” [Housing Partnership Network, Stewards of Affordable Housing for the Future, letter dated 2/17/2010]</w:t>
      </w:r>
    </w:p>
    <w:p w:rsidR="00BA369D" w:rsidRPr="00A14D8A" w:rsidRDefault="00BA369D" w:rsidP="00837ABA">
      <w:pPr>
        <w:pStyle w:val="ListParagraph"/>
        <w:numPr>
          <w:ilvl w:val="0"/>
          <w:numId w:val="1"/>
        </w:numPr>
        <w:spacing w:before="120" w:after="120"/>
        <w:rPr>
          <w:rFonts w:ascii="Calibri" w:hAnsi="Calibri" w:cs="Calibri"/>
          <w:i/>
          <w:iCs/>
        </w:rPr>
      </w:pPr>
      <w:r w:rsidRPr="00A14D8A">
        <w:rPr>
          <w:rFonts w:ascii="Calibri" w:hAnsi="Calibri" w:cs="Calibri"/>
          <w:i/>
          <w:iCs/>
        </w:rPr>
        <w:lastRenderedPageBreak/>
        <w:t xml:space="preserve">“Tenants would benefit by phasing out and consolidating archaic HUD multifamily programs such as Rent Supplement and RAP into a single type of project-based Section 8.” [National Alliance of HUD Tenants, document dated </w:t>
      </w:r>
      <w:r>
        <w:rPr>
          <w:rFonts w:ascii="Calibri" w:hAnsi="Calibri" w:cs="Calibri"/>
          <w:i/>
          <w:iCs/>
        </w:rPr>
        <w:t>4/11/2010</w:t>
      </w:r>
      <w:r w:rsidRPr="00A14D8A">
        <w:rPr>
          <w:rFonts w:ascii="Calibri" w:hAnsi="Calibri" w:cs="Calibri"/>
          <w:i/>
          <w:iCs/>
        </w:rPr>
        <w:t>]</w:t>
      </w:r>
    </w:p>
    <w:p w:rsidR="00BA369D" w:rsidRPr="000E713C" w:rsidRDefault="00BA369D" w:rsidP="00604B65">
      <w:pPr>
        <w:ind w:left="360"/>
        <w:rPr>
          <w:rStyle w:val="Strong"/>
          <w:rFonts w:ascii="Calibri" w:hAnsi="Calibri" w:cs="Calibri"/>
          <w:b w:val="0"/>
          <w:bCs w:val="0"/>
        </w:rPr>
      </w:pPr>
      <w:r w:rsidRPr="00913B1D">
        <w:rPr>
          <w:rFonts w:ascii="Calibri" w:hAnsi="Calibri" w:cs="Calibri"/>
          <w:b/>
          <w:bCs/>
        </w:rPr>
        <w:t xml:space="preserve">HOW HUD RESPONDED: </w:t>
      </w:r>
      <w:r w:rsidRPr="00604B65">
        <w:rPr>
          <w:rFonts w:ascii="Calibri" w:hAnsi="Calibri" w:cs="Calibri"/>
        </w:rPr>
        <w:t>Multifamily p</w:t>
      </w:r>
      <w:r>
        <w:rPr>
          <w:rFonts w:ascii="Calibri" w:hAnsi="Calibri" w:cs="Calibri"/>
        </w:rPr>
        <w:t xml:space="preserve">roperties assisted under </w:t>
      </w:r>
      <w:r>
        <w:rPr>
          <w:rStyle w:val="Strong"/>
          <w:rFonts w:ascii="Calibri" w:hAnsi="Calibri" w:cs="Calibri"/>
          <w:b w:val="0"/>
          <w:bCs w:val="0"/>
        </w:rPr>
        <w:t xml:space="preserve">the Rent Supplement, Rental Assistance Program, and Section 8 Moderate Rehabilitation programs </w:t>
      </w:r>
      <w:r w:rsidRPr="00604B65">
        <w:rPr>
          <w:rFonts w:ascii="Calibri" w:hAnsi="Calibri" w:cs="Calibri"/>
        </w:rPr>
        <w:t xml:space="preserve">are eligible for conversion in Phase One of </w:t>
      </w:r>
      <w:proofErr w:type="spellStart"/>
      <w:r w:rsidRPr="00604B65">
        <w:rPr>
          <w:rFonts w:ascii="Calibri" w:hAnsi="Calibri" w:cs="Calibri"/>
        </w:rPr>
        <w:t>TRA</w:t>
      </w:r>
      <w:proofErr w:type="spellEnd"/>
      <w:r>
        <w:rPr>
          <w:rFonts w:ascii="Calibri" w:hAnsi="Calibri" w:cs="Calibri"/>
        </w:rPr>
        <w:t xml:space="preserve">. These properties are a priority for conversion not only in the interest of streamlining, but also because they </w:t>
      </w:r>
      <w:r>
        <w:rPr>
          <w:rStyle w:val="Strong"/>
          <w:rFonts w:ascii="Calibri" w:hAnsi="Calibri" w:cs="Calibri"/>
          <w:b w:val="0"/>
          <w:bCs w:val="0"/>
        </w:rPr>
        <w:t xml:space="preserve">otherwise lack a viable preservation strategy. For example, Rent Supplement and Rental Assistance Program contracts are not renewable upon expiration; properties assisted under the Section 8 Moderate Rehabilitation program face renewal terms that make it nearly impossible for them to leverage the capital needed to support their long-term preservation as affordable housing. The urgency associated with preserving these properties is the reason for including them in Phase One. Combined, there are approximately </w:t>
      </w:r>
      <w:r w:rsidR="006615A6">
        <w:rPr>
          <w:rStyle w:val="Strong"/>
          <w:rFonts w:ascii="Calibri" w:hAnsi="Calibri" w:cs="Calibri"/>
          <w:b w:val="0"/>
          <w:bCs w:val="0"/>
        </w:rPr>
        <w:t>48</w:t>
      </w:r>
      <w:r>
        <w:rPr>
          <w:rStyle w:val="Strong"/>
          <w:rFonts w:ascii="Calibri" w:hAnsi="Calibri" w:cs="Calibri"/>
          <w:b w:val="0"/>
          <w:bCs w:val="0"/>
        </w:rPr>
        <w:t>,000 units assisted under these three programs.</w:t>
      </w:r>
    </w:p>
    <w:p w:rsidR="00BA369D" w:rsidRPr="000E713C" w:rsidRDefault="00BA369D" w:rsidP="00604B65">
      <w:pPr>
        <w:ind w:left="360"/>
        <w:rPr>
          <w:rStyle w:val="Strong"/>
          <w:rFonts w:ascii="Calibri" w:hAnsi="Calibri" w:cs="Calibri"/>
          <w:b w:val="0"/>
          <w:bCs w:val="0"/>
        </w:rPr>
      </w:pPr>
      <w:r>
        <w:rPr>
          <w:rStyle w:val="Strong"/>
          <w:rFonts w:ascii="Calibri" w:hAnsi="Calibri" w:cs="Calibri"/>
          <w:b w:val="0"/>
          <w:bCs w:val="0"/>
        </w:rPr>
        <w:t>Also eligible for conversion in Phase One are multifamily properties owned by public housing agencies (</w:t>
      </w:r>
      <w:proofErr w:type="spellStart"/>
      <w:r>
        <w:rPr>
          <w:rStyle w:val="Strong"/>
          <w:rFonts w:ascii="Calibri" w:hAnsi="Calibri" w:cs="Calibri"/>
          <w:b w:val="0"/>
          <w:bCs w:val="0"/>
        </w:rPr>
        <w:t>PHAs</w:t>
      </w:r>
      <w:proofErr w:type="spellEnd"/>
      <w:r>
        <w:rPr>
          <w:rStyle w:val="Strong"/>
          <w:rFonts w:ascii="Calibri" w:hAnsi="Calibri" w:cs="Calibri"/>
          <w:b w:val="0"/>
          <w:bCs w:val="0"/>
        </w:rPr>
        <w:t xml:space="preserve">). Approximately 40,000 units of multifamily housing are owned by </w:t>
      </w:r>
      <w:proofErr w:type="spellStart"/>
      <w:r>
        <w:rPr>
          <w:rStyle w:val="Strong"/>
          <w:rFonts w:ascii="Calibri" w:hAnsi="Calibri" w:cs="Calibri"/>
          <w:b w:val="0"/>
          <w:bCs w:val="0"/>
        </w:rPr>
        <w:t>PHAs</w:t>
      </w:r>
      <w:proofErr w:type="spellEnd"/>
      <w:r>
        <w:rPr>
          <w:rStyle w:val="Strong"/>
          <w:rFonts w:ascii="Calibri" w:hAnsi="Calibri" w:cs="Calibri"/>
          <w:b w:val="0"/>
          <w:bCs w:val="0"/>
        </w:rPr>
        <w:t xml:space="preserve">. HUD included these properties in Phase One so that </w:t>
      </w:r>
      <w:proofErr w:type="spellStart"/>
      <w:r>
        <w:rPr>
          <w:rStyle w:val="Strong"/>
          <w:rFonts w:ascii="Calibri" w:hAnsi="Calibri" w:cs="Calibri"/>
          <w:b w:val="0"/>
          <w:bCs w:val="0"/>
        </w:rPr>
        <w:t>PHAs</w:t>
      </w:r>
      <w:proofErr w:type="spellEnd"/>
      <w:r>
        <w:rPr>
          <w:rStyle w:val="Strong"/>
          <w:rFonts w:ascii="Calibri" w:hAnsi="Calibri" w:cs="Calibri"/>
          <w:b w:val="0"/>
          <w:bCs w:val="0"/>
        </w:rPr>
        <w:t xml:space="preserve"> that own both public and multifamily housing will have the option of converting their entire portfolio to property-based assistance under PETRA.</w:t>
      </w:r>
    </w:p>
    <w:p w:rsidR="00BA369D" w:rsidRPr="009019FA" w:rsidRDefault="00BA369D" w:rsidP="00035505">
      <w:pPr>
        <w:spacing w:before="120" w:after="120"/>
        <w:rPr>
          <w:rStyle w:val="IntenseReference"/>
          <w:rFonts w:ascii="Calibri" w:hAnsi="Calibri" w:cs="Calibri"/>
        </w:rPr>
      </w:pPr>
      <w:r w:rsidRPr="00A14D8A">
        <w:rPr>
          <w:rStyle w:val="IntenseReference"/>
          <w:rFonts w:ascii="Calibri" w:hAnsi="Calibri" w:cs="Calibri"/>
        </w:rPr>
        <w:t>Streamline and Improve Program Delivery</w:t>
      </w:r>
    </w:p>
    <w:p w:rsidR="00BA369D" w:rsidRPr="00A14D8A" w:rsidRDefault="00BA369D" w:rsidP="00A14D8A">
      <w:pPr>
        <w:pStyle w:val="ListParagraph"/>
        <w:numPr>
          <w:ilvl w:val="0"/>
          <w:numId w:val="1"/>
        </w:numPr>
        <w:spacing w:before="120" w:after="120"/>
        <w:rPr>
          <w:rFonts w:ascii="Calibri" w:hAnsi="Calibri" w:cs="Calibri"/>
          <w:i/>
          <w:iCs/>
        </w:rPr>
      </w:pPr>
      <w:r w:rsidRPr="00A14D8A">
        <w:rPr>
          <w:rFonts w:ascii="Calibri" w:hAnsi="Calibri" w:cs="Calibri"/>
          <w:i/>
          <w:iCs/>
        </w:rPr>
        <w:t>“A…streamlined waitlist where individuals could fill out one application that would give them access to all [vouchers]…could create cost savings.” [Minnesota Housing Finance Agency, letter dated 3/10/2010]</w:t>
      </w:r>
    </w:p>
    <w:p w:rsidR="00BA369D" w:rsidRPr="00A14D8A" w:rsidRDefault="00BA369D" w:rsidP="00A14D8A">
      <w:pPr>
        <w:spacing w:before="120" w:after="120"/>
        <w:ind w:left="360"/>
        <w:rPr>
          <w:rFonts w:ascii="Calibri" w:hAnsi="Calibri" w:cs="Calibri"/>
        </w:rPr>
      </w:pPr>
      <w:r w:rsidRPr="008B5CBB">
        <w:rPr>
          <w:rFonts w:ascii="Calibri" w:hAnsi="Calibri" w:cs="Calibri"/>
          <w:b/>
          <w:bCs/>
        </w:rPr>
        <w:t xml:space="preserve">HOW HUD RESPONDED: </w:t>
      </w:r>
      <w:r w:rsidRPr="008B5CBB">
        <w:rPr>
          <w:rFonts w:ascii="Calibri" w:hAnsi="Calibri" w:cs="Calibri"/>
        </w:rPr>
        <w:t>PETRA seeks to strike a balance between an owner option to maintain site-based waiting lists, which we heard was the preference of many owners; the civil rights, fair housing, and similar protections afforded to applicants; and the potential for streamlined administration.</w:t>
      </w:r>
      <w:r w:rsidR="006615A6" w:rsidRPr="008B5CBB">
        <w:rPr>
          <w:rFonts w:ascii="Calibri" w:hAnsi="Calibri" w:cs="Calibri"/>
        </w:rPr>
        <w:t xml:space="preserve">  </w:t>
      </w:r>
      <w:proofErr w:type="spellStart"/>
      <w:r w:rsidR="006615A6" w:rsidRPr="008B5CBB">
        <w:rPr>
          <w:rFonts w:ascii="Calibri" w:hAnsi="Calibri" w:cs="Calibri"/>
        </w:rPr>
        <w:t>PHAs</w:t>
      </w:r>
      <w:proofErr w:type="spellEnd"/>
      <w:r w:rsidR="006615A6" w:rsidRPr="008B5CBB">
        <w:rPr>
          <w:rFonts w:ascii="Calibri" w:hAnsi="Calibri" w:cs="Calibri"/>
        </w:rPr>
        <w:t xml:space="preserve"> and owners with more than one converted property must establish procedures that allow an applicant to apply in one location to all site-based waiting lists maintained by the owner.</w:t>
      </w:r>
    </w:p>
    <w:p w:rsidR="00BA369D" w:rsidRPr="00A14D8A" w:rsidRDefault="00BA369D" w:rsidP="00A14D8A">
      <w:pPr>
        <w:pStyle w:val="ListParagraph"/>
        <w:numPr>
          <w:ilvl w:val="0"/>
          <w:numId w:val="1"/>
        </w:numPr>
        <w:spacing w:before="120" w:after="120"/>
        <w:rPr>
          <w:rFonts w:ascii="Calibri" w:hAnsi="Calibri" w:cs="Calibri"/>
        </w:rPr>
      </w:pPr>
      <w:r w:rsidRPr="00A14D8A">
        <w:rPr>
          <w:rFonts w:ascii="Calibri" w:hAnsi="Calibri" w:cs="Calibri"/>
          <w:i/>
          <w:iCs/>
        </w:rPr>
        <w:t>“</w:t>
      </w:r>
      <w:proofErr w:type="spellStart"/>
      <w:r w:rsidRPr="00A14D8A">
        <w:rPr>
          <w:rFonts w:ascii="Calibri" w:hAnsi="Calibri" w:cs="Calibri"/>
          <w:i/>
          <w:iCs/>
        </w:rPr>
        <w:t>NAHRO</w:t>
      </w:r>
      <w:proofErr w:type="spellEnd"/>
      <w:r w:rsidRPr="00A14D8A">
        <w:rPr>
          <w:rFonts w:ascii="Calibri" w:hAnsi="Calibri" w:cs="Calibri"/>
          <w:i/>
          <w:iCs/>
        </w:rPr>
        <w:t xml:space="preserve"> continues to support further reform in a number of areas, including consolidated reporting for </w:t>
      </w:r>
      <w:proofErr w:type="spellStart"/>
      <w:r w:rsidRPr="00A14D8A">
        <w:rPr>
          <w:rFonts w:ascii="Calibri" w:hAnsi="Calibri" w:cs="Calibri"/>
          <w:i/>
          <w:iCs/>
        </w:rPr>
        <w:t>PHAs</w:t>
      </w:r>
      <w:proofErr w:type="spellEnd"/>
      <w:r w:rsidRPr="00A14D8A">
        <w:rPr>
          <w:rFonts w:ascii="Calibri" w:hAnsi="Calibri" w:cs="Calibri"/>
          <w:i/>
          <w:iCs/>
        </w:rPr>
        <w:t xml:space="preserve"> engaged in consortia.” [National Association of Housing and Redevelopment Officials, letter dated 5/4/2010]</w:t>
      </w:r>
    </w:p>
    <w:p w:rsidR="00BA369D" w:rsidRPr="00A14D8A" w:rsidRDefault="00BA369D" w:rsidP="00A14D8A">
      <w:pPr>
        <w:spacing w:before="120" w:after="120"/>
        <w:ind w:left="360"/>
        <w:rPr>
          <w:rFonts w:ascii="Calibri" w:hAnsi="Calibri" w:cs="Calibri"/>
        </w:rPr>
      </w:pPr>
      <w:r w:rsidRPr="00913B1D">
        <w:rPr>
          <w:rFonts w:ascii="Calibri" w:hAnsi="Calibri" w:cs="Calibri"/>
          <w:b/>
          <w:bCs/>
        </w:rPr>
        <w:t xml:space="preserve">HOW HUD RESPONDED: </w:t>
      </w:r>
      <w:r w:rsidRPr="00A14D8A">
        <w:rPr>
          <w:rFonts w:ascii="Calibri" w:hAnsi="Calibri" w:cs="Calibri"/>
        </w:rPr>
        <w:t>PETRA would amend the definition of a public housing agency to specify that a consortium of public housing agencies “shall have a legal entity or entities authorized to act as the legal representative of the consortium members.”</w:t>
      </w:r>
      <w:r>
        <w:rPr>
          <w:rFonts w:ascii="Calibri" w:hAnsi="Calibri" w:cs="Calibri"/>
        </w:rPr>
        <w:t xml:space="preserve"> This change will clearly allow consolidated reporting.</w:t>
      </w:r>
    </w:p>
    <w:p w:rsidR="00BA369D" w:rsidRPr="009019FA" w:rsidRDefault="00BA369D" w:rsidP="009B2BD4">
      <w:pPr>
        <w:spacing w:before="120" w:after="120"/>
        <w:rPr>
          <w:rStyle w:val="IntenseReference"/>
          <w:rFonts w:ascii="Calibri" w:hAnsi="Calibri" w:cs="Calibri"/>
        </w:rPr>
      </w:pPr>
      <w:r w:rsidRPr="00A14D8A">
        <w:rPr>
          <w:rStyle w:val="IntenseReference"/>
          <w:rFonts w:ascii="Calibri" w:hAnsi="Calibri" w:cs="Calibri"/>
        </w:rPr>
        <w:t>Strengthen Enforcement</w:t>
      </w:r>
    </w:p>
    <w:p w:rsidR="00BA369D" w:rsidRPr="00A14D8A" w:rsidRDefault="00BA369D" w:rsidP="00A14D8A">
      <w:pPr>
        <w:pStyle w:val="ListParagraph"/>
        <w:numPr>
          <w:ilvl w:val="0"/>
          <w:numId w:val="1"/>
        </w:numPr>
        <w:spacing w:before="120" w:after="120"/>
        <w:rPr>
          <w:rFonts w:ascii="Calibri" w:hAnsi="Calibri" w:cs="Calibri"/>
          <w:i/>
          <w:iCs/>
        </w:rPr>
      </w:pPr>
      <w:r w:rsidRPr="00A14D8A">
        <w:rPr>
          <w:rFonts w:ascii="Calibri" w:hAnsi="Calibri" w:cs="Calibri"/>
          <w:i/>
          <w:iCs/>
        </w:rPr>
        <w:t>“For those owners who are providing affordable housing that does not meet reasonable quality standards, a strong enforcement and sanction regime is the appropriate discipline.” [Stewards of Affordable Housing for the Future, Housing Partnership Network, letter dated 2/17/2010]</w:t>
      </w:r>
    </w:p>
    <w:p w:rsidR="00BA369D" w:rsidRPr="00A14D8A" w:rsidRDefault="00BA369D" w:rsidP="00A14D8A">
      <w:pPr>
        <w:spacing w:before="120" w:after="120"/>
        <w:ind w:left="360"/>
        <w:rPr>
          <w:rFonts w:ascii="Calibri" w:hAnsi="Calibri" w:cs="Calibri"/>
        </w:rPr>
      </w:pPr>
      <w:r w:rsidRPr="00913B1D">
        <w:rPr>
          <w:rFonts w:ascii="Calibri" w:hAnsi="Calibri" w:cs="Calibri"/>
          <w:b/>
          <w:bCs/>
        </w:rPr>
        <w:lastRenderedPageBreak/>
        <w:t xml:space="preserve">HOW HUD RESPONDED: </w:t>
      </w:r>
      <w:r w:rsidRPr="00A14D8A">
        <w:rPr>
          <w:rFonts w:ascii="Calibri" w:hAnsi="Calibri" w:cs="Calibri"/>
        </w:rPr>
        <w:t xml:space="preserve">PETRA would </w:t>
      </w:r>
      <w:r>
        <w:rPr>
          <w:rFonts w:ascii="Calibri" w:hAnsi="Calibri" w:cs="Calibri"/>
        </w:rPr>
        <w:t>establish new aut</w:t>
      </w:r>
      <w:r w:rsidR="006615A6">
        <w:rPr>
          <w:rFonts w:ascii="Calibri" w:hAnsi="Calibri" w:cs="Calibri"/>
        </w:rPr>
        <w:t>h</w:t>
      </w:r>
      <w:r>
        <w:rPr>
          <w:rFonts w:ascii="Calibri" w:hAnsi="Calibri" w:cs="Calibri"/>
        </w:rPr>
        <w:t xml:space="preserve">ority for </w:t>
      </w:r>
      <w:r w:rsidRPr="00A14D8A">
        <w:rPr>
          <w:rFonts w:ascii="Calibri" w:hAnsi="Calibri" w:cs="Calibri"/>
        </w:rPr>
        <w:t>the Secretary to bring action to obtain a monetary judgment or other relief against an owner or a public housing agency administering rental assistance that violates a rental assistance contract or any statute or regulation applicable to the assisted property, with the exception of the Fair Housing Act, which confers litigation authority exclusively on the Department of Justice.</w:t>
      </w:r>
      <w:r>
        <w:rPr>
          <w:rFonts w:ascii="Calibri" w:hAnsi="Calibri" w:cs="Calibri"/>
        </w:rPr>
        <w:t xml:space="preserve"> PETRA </w:t>
      </w:r>
      <w:r w:rsidRPr="006A5FD4">
        <w:rPr>
          <w:rFonts w:ascii="Calibri" w:hAnsi="Calibri" w:cs="Calibri"/>
        </w:rPr>
        <w:t xml:space="preserve">would </w:t>
      </w:r>
      <w:r>
        <w:rPr>
          <w:rFonts w:ascii="Calibri" w:hAnsi="Calibri" w:cs="Calibri"/>
        </w:rPr>
        <w:t xml:space="preserve">also </w:t>
      </w:r>
      <w:r w:rsidRPr="006A5FD4">
        <w:rPr>
          <w:rFonts w:ascii="Calibri" w:hAnsi="Calibri" w:cs="Calibri"/>
        </w:rPr>
        <w:t xml:space="preserve">expand the basis for civil money penalties against owners of project-based Section 8–assisted properties </w:t>
      </w:r>
      <w:r>
        <w:rPr>
          <w:rFonts w:ascii="Calibri" w:hAnsi="Calibri" w:cs="Calibri"/>
        </w:rPr>
        <w:t xml:space="preserve">specifically </w:t>
      </w:r>
      <w:r w:rsidRPr="006A5FD4">
        <w:rPr>
          <w:rFonts w:ascii="Calibri" w:hAnsi="Calibri" w:cs="Calibri"/>
        </w:rPr>
        <w:t>to permit penalties for an owner’s failure to: submit audited financial statements; permit physical access to the project; provide access to books, records, and accounts; provide management of the property that is acceptable to the Secretary; and comply with any requirements of the Secretary. The maximum penalty that could be imposed for these violations under PETRA would be $37,500, providing parity with penalties that can be imposed against owners of HUD-insured projects.</w:t>
      </w:r>
    </w:p>
    <w:p w:rsidR="00BA369D" w:rsidRPr="00A14D8A" w:rsidRDefault="00BA369D" w:rsidP="00A14D8A">
      <w:pPr>
        <w:pStyle w:val="ListParagraph"/>
        <w:numPr>
          <w:ilvl w:val="0"/>
          <w:numId w:val="1"/>
        </w:numPr>
        <w:spacing w:before="120" w:after="120"/>
        <w:rPr>
          <w:rFonts w:ascii="Calibri" w:hAnsi="Calibri" w:cs="Calibri"/>
          <w:i/>
          <w:iCs/>
        </w:rPr>
      </w:pPr>
      <w:r w:rsidRPr="00A14D8A">
        <w:rPr>
          <w:rFonts w:ascii="Calibri" w:hAnsi="Calibri" w:cs="Calibri"/>
          <w:i/>
          <w:iCs/>
        </w:rPr>
        <w:t xml:space="preserve">“We are not convinced that </w:t>
      </w:r>
      <w:proofErr w:type="spellStart"/>
      <w:r w:rsidRPr="00A14D8A">
        <w:rPr>
          <w:rFonts w:ascii="Calibri" w:hAnsi="Calibri" w:cs="Calibri"/>
          <w:i/>
          <w:iCs/>
        </w:rPr>
        <w:t>TRA</w:t>
      </w:r>
      <w:proofErr w:type="spellEnd"/>
      <w:r w:rsidRPr="00A14D8A">
        <w:rPr>
          <w:rFonts w:ascii="Calibri" w:hAnsi="Calibri" w:cs="Calibri"/>
          <w:i/>
          <w:iCs/>
        </w:rPr>
        <w:t xml:space="preserve"> will result in management improvements by subjecting owner/managers to ‘market discipline’ if tenants move out of the building.” [National Alliance of HUD Tenants, document dated </w:t>
      </w:r>
      <w:r>
        <w:rPr>
          <w:rFonts w:ascii="Calibri" w:hAnsi="Calibri" w:cs="Calibri"/>
          <w:i/>
          <w:iCs/>
        </w:rPr>
        <w:t>4/11/2010</w:t>
      </w:r>
      <w:r w:rsidRPr="00A14D8A">
        <w:rPr>
          <w:rFonts w:ascii="Calibri" w:hAnsi="Calibri" w:cs="Calibri"/>
          <w:i/>
          <w:iCs/>
        </w:rPr>
        <w:t>]</w:t>
      </w:r>
    </w:p>
    <w:p w:rsidR="008B5CBB" w:rsidRPr="008B5CBB" w:rsidRDefault="00BA369D" w:rsidP="00A14D8A">
      <w:pPr>
        <w:spacing w:before="120" w:after="120"/>
        <w:ind w:left="360"/>
        <w:rPr>
          <w:rFonts w:asciiTheme="minorHAnsi" w:hAnsiTheme="minorHAnsi"/>
        </w:rPr>
      </w:pPr>
      <w:r w:rsidRPr="008B5CBB">
        <w:rPr>
          <w:rFonts w:asciiTheme="minorHAnsi" w:hAnsiTheme="minorHAnsi" w:cs="Calibri"/>
          <w:b/>
          <w:bCs/>
        </w:rPr>
        <w:t xml:space="preserve">HOW HUD RESPONDED: </w:t>
      </w:r>
      <w:r w:rsidR="008B5CBB" w:rsidRPr="008B5CBB">
        <w:rPr>
          <w:rFonts w:asciiTheme="minorHAnsi" w:hAnsiTheme="minorHAnsi"/>
        </w:rPr>
        <w:t xml:space="preserve">Today, public housing and other programs lock residents into a specific location even if they need to move for a job, to access educational opportunities, or to address a family illness.  Staying is the only option many families have to keep a roof over their heads.  Indeed, because moving means giving up their assistance, these families often find themselves trapped in neighborhoods of concentrated poverty -- sometimes for generations.  </w:t>
      </w:r>
      <w:r w:rsidR="008B5CBB" w:rsidRPr="008B5CBB">
        <w:rPr>
          <w:rFonts w:asciiTheme="minorHAnsi" w:hAnsiTheme="minorHAnsi"/>
          <w:color w:val="000000"/>
        </w:rPr>
        <w:t>In contrast, participants of HUD’s Housing Choice Voucher (</w:t>
      </w:r>
      <w:proofErr w:type="spellStart"/>
      <w:r w:rsidR="008B5CBB" w:rsidRPr="008B5CBB">
        <w:rPr>
          <w:rFonts w:asciiTheme="minorHAnsi" w:hAnsiTheme="minorHAnsi"/>
          <w:color w:val="000000"/>
        </w:rPr>
        <w:t>HCV</w:t>
      </w:r>
      <w:proofErr w:type="spellEnd"/>
      <w:r w:rsidR="008B5CBB" w:rsidRPr="008B5CBB">
        <w:rPr>
          <w:rFonts w:asciiTheme="minorHAnsi" w:hAnsiTheme="minorHAnsi"/>
          <w:color w:val="000000"/>
        </w:rPr>
        <w:t xml:space="preserve">) program can take their housing assistance with them when they move.  </w:t>
      </w:r>
    </w:p>
    <w:p w:rsidR="008B5CBB" w:rsidRPr="008B5CBB" w:rsidRDefault="008B5CBB" w:rsidP="00A14D8A">
      <w:pPr>
        <w:spacing w:before="120" w:after="120"/>
        <w:ind w:left="360"/>
        <w:rPr>
          <w:rFonts w:asciiTheme="minorHAnsi" w:hAnsiTheme="minorHAnsi" w:cs="Calibri"/>
        </w:rPr>
      </w:pPr>
    </w:p>
    <w:p w:rsidR="00BA369D" w:rsidRPr="008B5CBB" w:rsidRDefault="00BA369D" w:rsidP="00A14D8A">
      <w:pPr>
        <w:spacing w:before="120" w:after="120"/>
        <w:ind w:left="360"/>
        <w:rPr>
          <w:rFonts w:asciiTheme="minorHAnsi" w:hAnsiTheme="minorHAnsi" w:cs="Calibri"/>
        </w:rPr>
      </w:pPr>
      <w:r w:rsidRPr="008B5CBB">
        <w:rPr>
          <w:rFonts w:asciiTheme="minorHAnsi" w:hAnsiTheme="minorHAnsi" w:cs="Calibri"/>
        </w:rPr>
        <w:t xml:space="preserve">PETRA would create incentives for owners to engage in the positive stewardship of their properties and would also establish enforcement measures in the event that owners fail to maintain their properties in strong physical and financial condition and would not therefore rely solely or primarily on the Choice Option in this regard. For example, PETRA would authorize uniform physical condition standards for all properties receiving HUD-funded rental assistance and would require periodic inspection of properties. Partially assisted properties would benefit from the market discipline brought by virtue of the presence of unassisted units; fully assisted properties would be subject to more rigorous </w:t>
      </w:r>
      <w:r w:rsidR="006615A6" w:rsidRPr="008B5CBB">
        <w:rPr>
          <w:rFonts w:asciiTheme="minorHAnsi" w:hAnsiTheme="minorHAnsi" w:cs="Calibri"/>
        </w:rPr>
        <w:t>oversight</w:t>
      </w:r>
      <w:r w:rsidRPr="008B5CBB">
        <w:rPr>
          <w:rFonts w:asciiTheme="minorHAnsi" w:hAnsiTheme="minorHAnsi" w:cs="Calibri"/>
        </w:rPr>
        <w:t>. Rents would be established to provide cash flow for owners who maintain their properties in good physical and financial condition, and the Secretary would be authorized to restrict access to cash flow for owners that fail to do so. HUD would be authorized to bring action</w:t>
      </w:r>
      <w:r w:rsidR="006615A6" w:rsidRPr="008B5CBB">
        <w:rPr>
          <w:rFonts w:asciiTheme="minorHAnsi" w:hAnsiTheme="minorHAnsi" w:cs="Calibri"/>
        </w:rPr>
        <w:t>s</w:t>
      </w:r>
      <w:r w:rsidRPr="008B5CBB">
        <w:rPr>
          <w:rFonts w:asciiTheme="minorHAnsi" w:hAnsiTheme="minorHAnsi" w:cs="Calibri"/>
        </w:rPr>
        <w:t xml:space="preserve"> against owners who violate contractual or other covenants and to pursue monetary judgment</w:t>
      </w:r>
      <w:r w:rsidR="006615A6" w:rsidRPr="008B5CBB">
        <w:rPr>
          <w:rFonts w:asciiTheme="minorHAnsi" w:hAnsiTheme="minorHAnsi" w:cs="Calibri"/>
        </w:rPr>
        <w:t>s as well as other remedies</w:t>
      </w:r>
      <w:r w:rsidRPr="008B5CBB">
        <w:rPr>
          <w:rFonts w:asciiTheme="minorHAnsi" w:hAnsiTheme="minorHAnsi" w:cs="Calibri"/>
        </w:rPr>
        <w:t>. The Secretary would also be authorized to transfer a rental assistance contract from a property whose owner is in violation of contractual or other covenants</w:t>
      </w:r>
      <w:r w:rsidR="006615A6" w:rsidRPr="008B5CBB">
        <w:rPr>
          <w:rFonts w:asciiTheme="minorHAnsi" w:hAnsiTheme="minorHAnsi" w:cs="Calibri"/>
        </w:rPr>
        <w:t xml:space="preserve"> (with appropriate protections for </w:t>
      </w:r>
      <w:r w:rsidRPr="008B5CBB">
        <w:rPr>
          <w:rFonts w:asciiTheme="minorHAnsi" w:hAnsiTheme="minorHAnsi" w:cs="Calibri"/>
        </w:rPr>
        <w:t>tenants.</w:t>
      </w:r>
    </w:p>
    <w:p w:rsidR="00BA369D" w:rsidRPr="009019FA" w:rsidRDefault="00BA369D" w:rsidP="00294488">
      <w:pPr>
        <w:spacing w:before="120" w:after="120"/>
        <w:rPr>
          <w:rStyle w:val="IntenseReference"/>
          <w:rFonts w:ascii="Calibri" w:hAnsi="Calibri" w:cs="Calibri"/>
        </w:rPr>
      </w:pPr>
      <w:r>
        <w:rPr>
          <w:rStyle w:val="IntenseReference"/>
          <w:rFonts w:ascii="Calibri" w:hAnsi="Calibri" w:cs="Calibri"/>
        </w:rPr>
        <w:t>Preserve Key Features of the Project-Based Voucher Statute</w:t>
      </w:r>
    </w:p>
    <w:p w:rsidR="00BA369D" w:rsidRPr="00A14D8A" w:rsidRDefault="00BA369D" w:rsidP="00304F81">
      <w:pPr>
        <w:pStyle w:val="ListParagraph"/>
        <w:numPr>
          <w:ilvl w:val="0"/>
          <w:numId w:val="1"/>
        </w:numPr>
        <w:spacing w:before="120" w:after="120"/>
        <w:rPr>
          <w:rFonts w:ascii="Calibri" w:hAnsi="Calibri" w:cs="Calibri"/>
          <w:i/>
          <w:iCs/>
        </w:rPr>
      </w:pPr>
      <w:r w:rsidRPr="00A14D8A">
        <w:rPr>
          <w:rFonts w:ascii="Calibri" w:hAnsi="Calibri" w:cs="Calibri"/>
          <w:i/>
          <w:iCs/>
        </w:rPr>
        <w:lastRenderedPageBreak/>
        <w:t>“</w:t>
      </w:r>
      <w:proofErr w:type="spellStart"/>
      <w:r w:rsidRPr="00A14D8A">
        <w:rPr>
          <w:rFonts w:ascii="Calibri" w:hAnsi="Calibri" w:cs="Calibri"/>
          <w:i/>
          <w:iCs/>
        </w:rPr>
        <w:t>PHADA</w:t>
      </w:r>
      <w:proofErr w:type="spellEnd"/>
      <w:r w:rsidRPr="00A14D8A">
        <w:rPr>
          <w:rFonts w:ascii="Calibri" w:hAnsi="Calibri" w:cs="Calibri"/>
          <w:i/>
          <w:iCs/>
        </w:rPr>
        <w:t xml:space="preserve"> does not concur with…eliminating the ability of ‘special populations’ to project base all the units in a property.” [Public Housing Authorities Directors Association, 4/21/2010]</w:t>
      </w:r>
    </w:p>
    <w:p w:rsidR="00BA369D" w:rsidRDefault="00BA369D" w:rsidP="00304F81">
      <w:pPr>
        <w:pStyle w:val="ListParagraph"/>
        <w:numPr>
          <w:ilvl w:val="0"/>
          <w:numId w:val="1"/>
        </w:numPr>
        <w:spacing w:before="120" w:after="120"/>
        <w:rPr>
          <w:rFonts w:ascii="Calibri" w:hAnsi="Calibri" w:cs="Calibri"/>
          <w:i/>
          <w:iCs/>
        </w:rPr>
      </w:pPr>
      <w:r w:rsidRPr="00A14D8A">
        <w:rPr>
          <w:rFonts w:ascii="Calibri" w:hAnsi="Calibri" w:cs="Calibri"/>
          <w:i/>
          <w:iCs/>
        </w:rPr>
        <w:t xml:space="preserve">“The inability of owners to convert fully assisted projects for special needs populations and/or to families with comprehensive services to </w:t>
      </w:r>
      <w:proofErr w:type="spellStart"/>
      <w:r w:rsidRPr="00A14D8A">
        <w:rPr>
          <w:rFonts w:ascii="Calibri" w:hAnsi="Calibri" w:cs="Calibri"/>
          <w:i/>
          <w:iCs/>
        </w:rPr>
        <w:t>PBV</w:t>
      </w:r>
      <w:proofErr w:type="spellEnd"/>
      <w:r w:rsidRPr="00A14D8A">
        <w:rPr>
          <w:rFonts w:ascii="Calibri" w:hAnsi="Calibri" w:cs="Calibri"/>
          <w:i/>
          <w:iCs/>
        </w:rPr>
        <w:t xml:space="preserve"> will limit the options available to agencies providing supportive services.” [National Association of Housing and Redevelopment Officials, letter dated 5/4/2010</w:t>
      </w:r>
      <w:r>
        <w:rPr>
          <w:rFonts w:ascii="Calibri" w:hAnsi="Calibri" w:cs="Calibri"/>
          <w:i/>
          <w:iCs/>
        </w:rPr>
        <w:t>]</w:t>
      </w:r>
    </w:p>
    <w:p w:rsidR="00FC430E" w:rsidRDefault="00BA369D">
      <w:pPr>
        <w:spacing w:before="120" w:after="120"/>
        <w:ind w:left="360"/>
        <w:rPr>
          <w:rFonts w:ascii="Calibri" w:hAnsi="Calibri" w:cs="Calibri"/>
          <w:i/>
          <w:iCs/>
        </w:rPr>
      </w:pPr>
      <w:r w:rsidRPr="00913B1D">
        <w:rPr>
          <w:rFonts w:ascii="Calibri" w:hAnsi="Calibri" w:cs="Calibri"/>
          <w:b/>
          <w:bCs/>
        </w:rPr>
        <w:t xml:space="preserve">HOW HUD RESPONDED: </w:t>
      </w:r>
      <w:r w:rsidRPr="00304F81">
        <w:rPr>
          <w:rFonts w:ascii="Calibri" w:hAnsi="Calibri" w:cs="Calibri"/>
        </w:rPr>
        <w:t xml:space="preserve">For properties </w:t>
      </w:r>
      <w:r w:rsidRPr="008C7126">
        <w:rPr>
          <w:rFonts w:ascii="Calibri" w:hAnsi="Calibri" w:cs="Calibri"/>
          <w:i/>
          <w:iCs/>
        </w:rPr>
        <w:t>converting</w:t>
      </w:r>
      <w:r w:rsidRPr="00304F81">
        <w:rPr>
          <w:rFonts w:ascii="Calibri" w:hAnsi="Calibri" w:cs="Calibri"/>
        </w:rPr>
        <w:t xml:space="preserve"> to </w:t>
      </w:r>
      <w:proofErr w:type="spellStart"/>
      <w:r w:rsidRPr="00304F81">
        <w:rPr>
          <w:rFonts w:ascii="Calibri" w:hAnsi="Calibri" w:cs="Calibri"/>
        </w:rPr>
        <w:t>PBV</w:t>
      </w:r>
      <w:proofErr w:type="spellEnd"/>
      <w:r w:rsidRPr="00304F81">
        <w:rPr>
          <w:rFonts w:ascii="Calibri" w:hAnsi="Calibri" w:cs="Calibri"/>
        </w:rPr>
        <w:t xml:space="preserve">-assistance, PETRA would establish </w:t>
      </w:r>
      <w:r>
        <w:rPr>
          <w:rFonts w:ascii="Calibri" w:hAnsi="Calibri" w:cs="Calibri"/>
        </w:rPr>
        <w:t xml:space="preserve">income-mixing requirements. </w:t>
      </w:r>
      <w:r w:rsidRPr="00A14D8A">
        <w:rPr>
          <w:rFonts w:ascii="Calibri" w:hAnsi="Calibri" w:cs="Calibri"/>
        </w:rPr>
        <w:t xml:space="preserve">PETRA </w:t>
      </w:r>
      <w:r>
        <w:rPr>
          <w:rFonts w:ascii="Calibri" w:hAnsi="Calibri" w:cs="Calibri"/>
        </w:rPr>
        <w:t xml:space="preserve">however preserves </w:t>
      </w:r>
      <w:r w:rsidRPr="00A14D8A">
        <w:rPr>
          <w:rFonts w:ascii="Calibri" w:hAnsi="Calibri" w:cs="Calibri"/>
        </w:rPr>
        <w:t xml:space="preserve">the ability of owners to attach </w:t>
      </w:r>
      <w:proofErr w:type="spellStart"/>
      <w:r w:rsidRPr="00A14D8A">
        <w:rPr>
          <w:rFonts w:ascii="Calibri" w:hAnsi="Calibri" w:cs="Calibri"/>
        </w:rPr>
        <w:t>PBVs</w:t>
      </w:r>
      <w:proofErr w:type="spellEnd"/>
      <w:r w:rsidRPr="00A14D8A">
        <w:rPr>
          <w:rFonts w:ascii="Calibri" w:hAnsi="Calibri" w:cs="Calibri"/>
        </w:rPr>
        <w:t xml:space="preserve"> to 100 percent of the units in projects serving elderly households or “households eligible for comprehensive social services that are made available to residents of the property</w:t>
      </w:r>
      <w:r>
        <w:rPr>
          <w:rFonts w:ascii="Calibri" w:hAnsi="Calibri" w:cs="Calibri"/>
        </w:rPr>
        <w:t>.</w:t>
      </w:r>
      <w:r w:rsidRPr="00A14D8A">
        <w:rPr>
          <w:rFonts w:ascii="Calibri" w:hAnsi="Calibri" w:cs="Calibri"/>
        </w:rPr>
        <w:t xml:space="preserve">” </w:t>
      </w:r>
      <w:r w:rsidR="006615A6">
        <w:rPr>
          <w:rFonts w:ascii="Calibri" w:hAnsi="Calibri" w:cs="Calibri"/>
        </w:rPr>
        <w:t xml:space="preserve">This modification of the current exception for properties housing families receiving supportive services is similar to a provision in the House </w:t>
      </w:r>
      <w:proofErr w:type="spellStart"/>
      <w:r w:rsidR="006615A6">
        <w:rPr>
          <w:rFonts w:ascii="Calibri" w:hAnsi="Calibri" w:cs="Calibri"/>
        </w:rPr>
        <w:t>SEVRA</w:t>
      </w:r>
      <w:proofErr w:type="spellEnd"/>
      <w:r w:rsidR="006615A6">
        <w:rPr>
          <w:rFonts w:ascii="Calibri" w:hAnsi="Calibri" w:cs="Calibri"/>
        </w:rPr>
        <w:t xml:space="preserve"> bill.  </w:t>
      </w:r>
      <w:r>
        <w:rPr>
          <w:rFonts w:ascii="Calibri" w:hAnsi="Calibri" w:cs="Calibri"/>
        </w:rPr>
        <w:t xml:space="preserve">PETRA </w:t>
      </w:r>
      <w:r w:rsidRPr="00A14D8A">
        <w:rPr>
          <w:rFonts w:ascii="Calibri" w:hAnsi="Calibri" w:cs="Calibri"/>
        </w:rPr>
        <w:t>would authorize the Secretary to “establish additional requirements for the monitoring and oversight” of properties</w:t>
      </w:r>
      <w:r>
        <w:rPr>
          <w:rFonts w:ascii="Calibri" w:hAnsi="Calibri" w:cs="Calibri"/>
        </w:rPr>
        <w:t xml:space="preserve"> with </w:t>
      </w:r>
      <w:proofErr w:type="spellStart"/>
      <w:r>
        <w:rPr>
          <w:rFonts w:ascii="Calibri" w:hAnsi="Calibri" w:cs="Calibri"/>
        </w:rPr>
        <w:t>PBV</w:t>
      </w:r>
      <w:proofErr w:type="spellEnd"/>
      <w:r>
        <w:rPr>
          <w:rFonts w:ascii="Calibri" w:hAnsi="Calibri" w:cs="Calibri"/>
        </w:rPr>
        <w:t>-assistance attached to more than 40 percent of the units</w:t>
      </w:r>
      <w:r w:rsidRPr="00A14D8A">
        <w:rPr>
          <w:rFonts w:ascii="Calibri" w:hAnsi="Calibri" w:cs="Calibri"/>
        </w:rPr>
        <w:t>.</w:t>
      </w:r>
      <w:r>
        <w:rPr>
          <w:rFonts w:ascii="Calibri" w:hAnsi="Calibri" w:cs="Calibri"/>
        </w:rPr>
        <w:t xml:space="preserve"> </w:t>
      </w:r>
      <w:r w:rsidRPr="00A14D8A">
        <w:rPr>
          <w:rFonts w:ascii="Calibri" w:hAnsi="Calibri" w:cs="Calibri"/>
          <w:i/>
          <w:iCs/>
        </w:rPr>
        <w:t xml:space="preserve">“We are concerned that language in the budget proposal would take responsibility for administration of vouchers away from </w:t>
      </w:r>
      <w:proofErr w:type="spellStart"/>
      <w:r w:rsidRPr="00A14D8A">
        <w:rPr>
          <w:rFonts w:ascii="Calibri" w:hAnsi="Calibri" w:cs="Calibri"/>
          <w:i/>
          <w:iCs/>
        </w:rPr>
        <w:t>PHAs</w:t>
      </w:r>
      <w:proofErr w:type="spellEnd"/>
      <w:r w:rsidRPr="00A14D8A">
        <w:rPr>
          <w:rFonts w:ascii="Calibri" w:hAnsi="Calibri" w:cs="Calibri"/>
          <w:i/>
          <w:iCs/>
        </w:rPr>
        <w:t xml:space="preserve"> who own converted properties.” [National Association of Housing and Redevelopment Officials, letter dated 3/10/2010]</w:t>
      </w:r>
    </w:p>
    <w:p w:rsidR="00BA369D" w:rsidRPr="00AA59C0" w:rsidRDefault="00BA369D" w:rsidP="00AA59C0">
      <w:pPr>
        <w:spacing w:before="120" w:after="120"/>
        <w:ind w:left="360"/>
        <w:rPr>
          <w:rFonts w:ascii="Calibri" w:hAnsi="Calibri" w:cs="Calibri"/>
        </w:rPr>
      </w:pPr>
      <w:r w:rsidRPr="008B5CBB">
        <w:rPr>
          <w:rFonts w:ascii="Calibri" w:hAnsi="Calibri" w:cs="Calibri"/>
          <w:b/>
          <w:bCs/>
        </w:rPr>
        <w:t xml:space="preserve">HOW HUD RESPONDED: </w:t>
      </w:r>
      <w:r w:rsidRPr="008B5CBB">
        <w:rPr>
          <w:rFonts w:ascii="Calibri" w:hAnsi="Calibri" w:cs="Calibri"/>
        </w:rPr>
        <w:t xml:space="preserve">With respect to the administration of project-based vouchers, PETRA contains no requirement that such administration be transferred from the </w:t>
      </w:r>
      <w:proofErr w:type="spellStart"/>
      <w:r w:rsidRPr="008B5CBB">
        <w:rPr>
          <w:rFonts w:ascii="Calibri" w:hAnsi="Calibri" w:cs="Calibri"/>
        </w:rPr>
        <w:t>PHA</w:t>
      </w:r>
      <w:proofErr w:type="spellEnd"/>
      <w:r w:rsidRPr="008B5CBB">
        <w:rPr>
          <w:rFonts w:ascii="Calibri" w:hAnsi="Calibri" w:cs="Calibri"/>
        </w:rPr>
        <w:t xml:space="preserve"> that owns a </w:t>
      </w:r>
      <w:proofErr w:type="spellStart"/>
      <w:r w:rsidRPr="008B5CBB">
        <w:rPr>
          <w:rFonts w:ascii="Calibri" w:hAnsi="Calibri" w:cs="Calibri"/>
        </w:rPr>
        <w:t>PBV</w:t>
      </w:r>
      <w:proofErr w:type="spellEnd"/>
      <w:r w:rsidRPr="008B5CBB">
        <w:rPr>
          <w:rFonts w:ascii="Calibri" w:hAnsi="Calibri" w:cs="Calibri"/>
        </w:rPr>
        <w:t xml:space="preserve">-assisted property to any other </w:t>
      </w:r>
      <w:proofErr w:type="spellStart"/>
      <w:r w:rsidRPr="008B5CBB">
        <w:rPr>
          <w:rFonts w:ascii="Calibri" w:hAnsi="Calibri" w:cs="Calibri"/>
        </w:rPr>
        <w:t>PHA</w:t>
      </w:r>
      <w:proofErr w:type="spellEnd"/>
      <w:r w:rsidRPr="008B5CBB">
        <w:rPr>
          <w:rFonts w:ascii="Calibri" w:hAnsi="Calibri" w:cs="Calibri"/>
        </w:rPr>
        <w:t xml:space="preserve"> or entity.</w:t>
      </w:r>
      <w:r w:rsidR="00596938" w:rsidRPr="008B5CBB">
        <w:rPr>
          <w:rFonts w:ascii="Calibri" w:hAnsi="Calibri" w:cs="Calibri"/>
        </w:rPr>
        <w:t xml:space="preserve">  If</w:t>
      </w:r>
      <w:r w:rsidR="00596938">
        <w:rPr>
          <w:rFonts w:ascii="Calibri" w:hAnsi="Calibri" w:cs="Calibri"/>
        </w:rPr>
        <w:t xml:space="preserve"> a </w:t>
      </w:r>
      <w:proofErr w:type="spellStart"/>
      <w:r w:rsidR="00596938">
        <w:rPr>
          <w:rFonts w:ascii="Calibri" w:hAnsi="Calibri" w:cs="Calibri"/>
        </w:rPr>
        <w:t>PHA</w:t>
      </w:r>
      <w:proofErr w:type="spellEnd"/>
      <w:r w:rsidR="00596938">
        <w:rPr>
          <w:rFonts w:ascii="Calibri" w:hAnsi="Calibri" w:cs="Calibri"/>
        </w:rPr>
        <w:t xml:space="preserve"> administers the project-based voucher contract for a property it owns (converted or other), a third party must conduct the periodic inspections and rent reasonableness determinations, just like under current law.</w:t>
      </w:r>
    </w:p>
    <w:sectPr w:rsidR="00BA369D" w:rsidRPr="00AA59C0" w:rsidSect="00BA369D">
      <w:headerReference w:type="default" r:id="rId7"/>
      <w:footerReference w:type="default" r:id="rId8"/>
      <w:type w:val="continuous"/>
      <w:pgSz w:w="12240" w:h="15840"/>
      <w:pgMar w:top="1935" w:right="720" w:bottom="720" w:left="720" w:header="720" w:footer="720" w:gutter="0"/>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5A6" w:rsidRDefault="006615A6" w:rsidP="009019FA">
      <w:pPr>
        <w:spacing w:after="0" w:line="240" w:lineRule="auto"/>
      </w:pPr>
      <w:r>
        <w:separator/>
      </w:r>
    </w:p>
  </w:endnote>
  <w:endnote w:type="continuationSeparator" w:id="0">
    <w:p w:rsidR="006615A6" w:rsidRDefault="006615A6" w:rsidP="009019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A6" w:rsidRDefault="00FC430E">
    <w:pPr>
      <w:pStyle w:val="Footer"/>
      <w:jc w:val="center"/>
    </w:pPr>
    <w:fldSimple w:instr=" PAGE   \* MERGEFORMAT ">
      <w:r w:rsidR="00660C79">
        <w:rPr>
          <w:noProof/>
        </w:rPr>
        <w:t>11</w:t>
      </w:r>
    </w:fldSimple>
  </w:p>
  <w:p w:rsidR="006615A6" w:rsidRDefault="006615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5A6" w:rsidRDefault="006615A6" w:rsidP="009019FA">
      <w:pPr>
        <w:spacing w:after="0" w:line="240" w:lineRule="auto"/>
      </w:pPr>
      <w:r>
        <w:separator/>
      </w:r>
    </w:p>
  </w:footnote>
  <w:footnote w:type="continuationSeparator" w:id="0">
    <w:p w:rsidR="006615A6" w:rsidRDefault="006615A6" w:rsidP="009019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A6" w:rsidRPr="00F1770C" w:rsidRDefault="008B5CBB" w:rsidP="009019FA">
    <w:pPr>
      <w:jc w:val="center"/>
      <w:rPr>
        <w:rStyle w:val="Strong"/>
        <w:rFonts w:ascii="Calibri" w:hAnsi="Calibri" w:cs="Calibri"/>
        <w:color w:val="4F81BD"/>
      </w:rPr>
    </w:pPr>
    <w:r>
      <w:rPr>
        <w:noProof/>
      </w:rPr>
      <w:drawing>
        <wp:inline distT="0" distB="0" distL="0" distR="0">
          <wp:extent cx="763270" cy="763270"/>
          <wp:effectExtent l="19050" t="0" r="0" b="0"/>
          <wp:docPr id="1" name="Picture 12" descr="http://hudatwork.hud.gov/refs/hwgraphics/powerpnt/hudse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hudatwork.hud.gov/refs/hwgraphics/powerpnt/hudseal.bmp"/>
                  <pic:cNvPicPr>
                    <a:picLocks noChangeAspect="1" noChangeArrowheads="1"/>
                  </pic:cNvPicPr>
                </pic:nvPicPr>
                <pic:blipFill>
                  <a:blip r:embed="rId1">
                    <a:clrChange>
                      <a:clrFrom>
                        <a:srgbClr val="FFFFFF"/>
                      </a:clrFrom>
                      <a:clrTo>
                        <a:srgbClr val="FFFFFF">
                          <a:alpha val="0"/>
                        </a:srgbClr>
                      </a:clrTo>
                    </a:clrChange>
                    <a:lum bright="-40000"/>
                  </a:blip>
                  <a:srcRect/>
                  <a:stretch>
                    <a:fillRect/>
                  </a:stretch>
                </pic:blipFill>
                <pic:spPr bwMode="auto">
                  <a:xfrm>
                    <a:off x="0" y="0"/>
                    <a:ext cx="763270" cy="763270"/>
                  </a:xfrm>
                  <a:prstGeom prst="rect">
                    <a:avLst/>
                  </a:prstGeom>
                  <a:noFill/>
                  <a:ln w="9525">
                    <a:noFill/>
                    <a:miter lim="800000"/>
                    <a:headEnd/>
                    <a:tailEnd/>
                  </a:ln>
                </pic:spPr>
              </pic:pic>
            </a:graphicData>
          </a:graphic>
        </wp:inline>
      </w:drawing>
    </w:r>
  </w:p>
  <w:p w:rsidR="006615A6" w:rsidRDefault="006615A6" w:rsidP="00A14D8A">
    <w:pPr>
      <w:spacing w:line="240" w:lineRule="auto"/>
      <w:jc w:val="center"/>
      <w:rPr>
        <w:rStyle w:val="Strong"/>
        <w:rFonts w:ascii="Calibri" w:hAnsi="Calibri" w:cs="Calibri"/>
        <w:b w:val="0"/>
        <w:bCs w:val="0"/>
        <w:color w:val="4F81BD"/>
      </w:rPr>
    </w:pPr>
    <w:r w:rsidRPr="009019FA">
      <w:rPr>
        <w:rStyle w:val="Strong"/>
        <w:rFonts w:ascii="Calibri" w:hAnsi="Calibri" w:cs="Calibri"/>
        <w:color w:val="4F81BD"/>
      </w:rPr>
      <w:t>Preservation, Enhancement</w:t>
    </w:r>
    <w:r>
      <w:rPr>
        <w:rStyle w:val="Strong"/>
        <w:rFonts w:ascii="Calibri" w:hAnsi="Calibri" w:cs="Calibri"/>
        <w:color w:val="4F81BD"/>
      </w:rPr>
      <w:t>,</w:t>
    </w:r>
    <w:r w:rsidRPr="009019FA">
      <w:rPr>
        <w:rStyle w:val="Strong"/>
        <w:rFonts w:ascii="Calibri" w:hAnsi="Calibri" w:cs="Calibri"/>
        <w:color w:val="4F81BD"/>
      </w:rPr>
      <w:t xml:space="preserve"> and Transformation of Rental Assistance Act of 2010</w:t>
    </w:r>
    <w:r>
      <w:rPr>
        <w:rStyle w:val="Strong"/>
        <w:rFonts w:ascii="Calibri" w:hAnsi="Calibri" w:cs="Calibri"/>
        <w:color w:val="4F81BD"/>
      </w:rPr>
      <w:t xml:space="preserve"> </w:t>
    </w:r>
    <w:r w:rsidRPr="009019FA">
      <w:rPr>
        <w:rStyle w:val="Strong"/>
        <w:rFonts w:ascii="Calibri" w:hAnsi="Calibri" w:cs="Calibri"/>
        <w:color w:val="4F81BD"/>
      </w:rPr>
      <w:t>(PETRA)</w:t>
    </w:r>
  </w:p>
  <w:p w:rsidR="006615A6" w:rsidRDefault="006615A6">
    <w:pPr>
      <w:jc w:val="center"/>
      <w:rPr>
        <w:sz w:val="28"/>
        <w:szCs w:val="28"/>
      </w:rPr>
    </w:pPr>
    <w:r w:rsidRPr="00A14D8A">
      <w:rPr>
        <w:rStyle w:val="Heading1Char"/>
        <w:rFonts w:ascii="Calibri" w:hAnsi="Calibri" w:cs="Calibri"/>
        <w:b/>
        <w:bCs/>
        <w:sz w:val="28"/>
        <w:szCs w:val="28"/>
      </w:rPr>
      <w:t xml:space="preserve">Making Change Together: </w:t>
    </w:r>
    <w:r>
      <w:rPr>
        <w:rStyle w:val="Heading1Char"/>
        <w:rFonts w:ascii="Calibri" w:hAnsi="Calibri" w:cs="Calibri"/>
        <w:b/>
        <w:bCs/>
        <w:sz w:val="28"/>
        <w:szCs w:val="28"/>
      </w:rPr>
      <w:t>40 Ways</w:t>
    </w:r>
    <w:r w:rsidRPr="00A14D8A">
      <w:rPr>
        <w:rStyle w:val="Heading1Char"/>
        <w:rFonts w:ascii="Calibri" w:hAnsi="Calibri" w:cs="Calibri"/>
        <w:b/>
        <w:bCs/>
        <w:sz w:val="28"/>
        <w:szCs w:val="28"/>
      </w:rPr>
      <w:t xml:space="preserve"> HUD Stakeholders Have Shaped the PETRA Legislation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856726"/>
    <w:multiLevelType w:val="hybridMultilevel"/>
    <w:tmpl w:val="8876A4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trackRevisions/>
  <w:defaultTabStop w:val="720"/>
  <w:doNotHyphenateCaps/>
  <w:drawingGridHorizontalSpacing w:val="11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7731A1"/>
    <w:rsid w:val="000070D0"/>
    <w:rsid w:val="000109C7"/>
    <w:rsid w:val="000140AA"/>
    <w:rsid w:val="000165B6"/>
    <w:rsid w:val="00017106"/>
    <w:rsid w:val="000173DA"/>
    <w:rsid w:val="00033D23"/>
    <w:rsid w:val="00035505"/>
    <w:rsid w:val="00047566"/>
    <w:rsid w:val="00052B40"/>
    <w:rsid w:val="000530EC"/>
    <w:rsid w:val="0006424F"/>
    <w:rsid w:val="00064E0A"/>
    <w:rsid w:val="00065860"/>
    <w:rsid w:val="000661E1"/>
    <w:rsid w:val="00074704"/>
    <w:rsid w:val="00086771"/>
    <w:rsid w:val="00096BB4"/>
    <w:rsid w:val="000A3D2B"/>
    <w:rsid w:val="000A4763"/>
    <w:rsid w:val="000A4C14"/>
    <w:rsid w:val="000C6444"/>
    <w:rsid w:val="000C7CA4"/>
    <w:rsid w:val="000D2641"/>
    <w:rsid w:val="000E0D32"/>
    <w:rsid w:val="000E20B0"/>
    <w:rsid w:val="000E6164"/>
    <w:rsid w:val="000E713C"/>
    <w:rsid w:val="000F0B7C"/>
    <w:rsid w:val="000F3EE5"/>
    <w:rsid w:val="000F5BDC"/>
    <w:rsid w:val="000F6599"/>
    <w:rsid w:val="00104832"/>
    <w:rsid w:val="001070CE"/>
    <w:rsid w:val="00114FB2"/>
    <w:rsid w:val="001271A6"/>
    <w:rsid w:val="00131DC7"/>
    <w:rsid w:val="00133596"/>
    <w:rsid w:val="001344C5"/>
    <w:rsid w:val="001359FF"/>
    <w:rsid w:val="00136BCA"/>
    <w:rsid w:val="00141C46"/>
    <w:rsid w:val="0014382B"/>
    <w:rsid w:val="00144D43"/>
    <w:rsid w:val="00146603"/>
    <w:rsid w:val="0014672E"/>
    <w:rsid w:val="001542D5"/>
    <w:rsid w:val="00154EAE"/>
    <w:rsid w:val="00157E59"/>
    <w:rsid w:val="001705D6"/>
    <w:rsid w:val="00177B02"/>
    <w:rsid w:val="00180107"/>
    <w:rsid w:val="001803EF"/>
    <w:rsid w:val="001808FA"/>
    <w:rsid w:val="001809D8"/>
    <w:rsid w:val="0018711E"/>
    <w:rsid w:val="0018739B"/>
    <w:rsid w:val="00193BBA"/>
    <w:rsid w:val="001A5599"/>
    <w:rsid w:val="001B7783"/>
    <w:rsid w:val="001D129E"/>
    <w:rsid w:val="001D754A"/>
    <w:rsid w:val="001F7FFE"/>
    <w:rsid w:val="0020577A"/>
    <w:rsid w:val="002063F4"/>
    <w:rsid w:val="0020783A"/>
    <w:rsid w:val="00210ED7"/>
    <w:rsid w:val="00213CCF"/>
    <w:rsid w:val="00221436"/>
    <w:rsid w:val="00223587"/>
    <w:rsid w:val="002242AC"/>
    <w:rsid w:val="00231B21"/>
    <w:rsid w:val="00237E1D"/>
    <w:rsid w:val="00237F55"/>
    <w:rsid w:val="00240D77"/>
    <w:rsid w:val="00243CB9"/>
    <w:rsid w:val="002478F4"/>
    <w:rsid w:val="00250FCB"/>
    <w:rsid w:val="00251906"/>
    <w:rsid w:val="002527B5"/>
    <w:rsid w:val="00254D0F"/>
    <w:rsid w:val="00257823"/>
    <w:rsid w:val="002579C1"/>
    <w:rsid w:val="0026779D"/>
    <w:rsid w:val="002916C5"/>
    <w:rsid w:val="00294488"/>
    <w:rsid w:val="002A46E7"/>
    <w:rsid w:val="002A7117"/>
    <w:rsid w:val="002D157B"/>
    <w:rsid w:val="002D162B"/>
    <w:rsid w:val="002E4A53"/>
    <w:rsid w:val="002E4FF8"/>
    <w:rsid w:val="002E6C61"/>
    <w:rsid w:val="003004B0"/>
    <w:rsid w:val="00302D92"/>
    <w:rsid w:val="00304F81"/>
    <w:rsid w:val="003065DD"/>
    <w:rsid w:val="003111FF"/>
    <w:rsid w:val="00323B46"/>
    <w:rsid w:val="00327AF5"/>
    <w:rsid w:val="00337AD7"/>
    <w:rsid w:val="00337C16"/>
    <w:rsid w:val="00337D39"/>
    <w:rsid w:val="00350229"/>
    <w:rsid w:val="003517E4"/>
    <w:rsid w:val="00352257"/>
    <w:rsid w:val="00352477"/>
    <w:rsid w:val="00364884"/>
    <w:rsid w:val="00365757"/>
    <w:rsid w:val="0036590F"/>
    <w:rsid w:val="0036757B"/>
    <w:rsid w:val="00376AB9"/>
    <w:rsid w:val="00376EB8"/>
    <w:rsid w:val="00377E08"/>
    <w:rsid w:val="00381490"/>
    <w:rsid w:val="00390345"/>
    <w:rsid w:val="003A33B0"/>
    <w:rsid w:val="003A3FD8"/>
    <w:rsid w:val="003A70EC"/>
    <w:rsid w:val="003B2149"/>
    <w:rsid w:val="003B32A6"/>
    <w:rsid w:val="003D5C95"/>
    <w:rsid w:val="003E00BB"/>
    <w:rsid w:val="003E4505"/>
    <w:rsid w:val="003E5437"/>
    <w:rsid w:val="003E6067"/>
    <w:rsid w:val="003E76CF"/>
    <w:rsid w:val="003F3971"/>
    <w:rsid w:val="003F4C32"/>
    <w:rsid w:val="00401D27"/>
    <w:rsid w:val="00404416"/>
    <w:rsid w:val="0040515A"/>
    <w:rsid w:val="00412EB6"/>
    <w:rsid w:val="0041365E"/>
    <w:rsid w:val="004144DB"/>
    <w:rsid w:val="00417A05"/>
    <w:rsid w:val="00422242"/>
    <w:rsid w:val="00424AA1"/>
    <w:rsid w:val="004344AB"/>
    <w:rsid w:val="004512F3"/>
    <w:rsid w:val="0046374A"/>
    <w:rsid w:val="00467DAF"/>
    <w:rsid w:val="004713AB"/>
    <w:rsid w:val="0047184C"/>
    <w:rsid w:val="00476D99"/>
    <w:rsid w:val="004804E1"/>
    <w:rsid w:val="0048195B"/>
    <w:rsid w:val="0048410C"/>
    <w:rsid w:val="0049414F"/>
    <w:rsid w:val="00497BBB"/>
    <w:rsid w:val="004A6B18"/>
    <w:rsid w:val="004B2A29"/>
    <w:rsid w:val="004B3F41"/>
    <w:rsid w:val="004B408E"/>
    <w:rsid w:val="004B5048"/>
    <w:rsid w:val="004C3F11"/>
    <w:rsid w:val="004C76A6"/>
    <w:rsid w:val="004D244B"/>
    <w:rsid w:val="004E530D"/>
    <w:rsid w:val="004E624B"/>
    <w:rsid w:val="004E6913"/>
    <w:rsid w:val="005020EA"/>
    <w:rsid w:val="005026FC"/>
    <w:rsid w:val="00504FD7"/>
    <w:rsid w:val="005072AC"/>
    <w:rsid w:val="005133FF"/>
    <w:rsid w:val="005206FC"/>
    <w:rsid w:val="005240E7"/>
    <w:rsid w:val="0055580D"/>
    <w:rsid w:val="0055624C"/>
    <w:rsid w:val="00556420"/>
    <w:rsid w:val="00562520"/>
    <w:rsid w:val="00563541"/>
    <w:rsid w:val="00567871"/>
    <w:rsid w:val="0057047D"/>
    <w:rsid w:val="005715A5"/>
    <w:rsid w:val="00571CD5"/>
    <w:rsid w:val="00572691"/>
    <w:rsid w:val="00572F3A"/>
    <w:rsid w:val="00573E4C"/>
    <w:rsid w:val="00580615"/>
    <w:rsid w:val="00581859"/>
    <w:rsid w:val="005849AA"/>
    <w:rsid w:val="00591B10"/>
    <w:rsid w:val="0059216C"/>
    <w:rsid w:val="00596938"/>
    <w:rsid w:val="005A0065"/>
    <w:rsid w:val="005A1554"/>
    <w:rsid w:val="005B1248"/>
    <w:rsid w:val="005B3631"/>
    <w:rsid w:val="005C0767"/>
    <w:rsid w:val="005E002C"/>
    <w:rsid w:val="005E39CC"/>
    <w:rsid w:val="005E4E7B"/>
    <w:rsid w:val="00604B65"/>
    <w:rsid w:val="00605DE1"/>
    <w:rsid w:val="00606088"/>
    <w:rsid w:val="006307B9"/>
    <w:rsid w:val="0063679A"/>
    <w:rsid w:val="00657643"/>
    <w:rsid w:val="00660C79"/>
    <w:rsid w:val="006615A6"/>
    <w:rsid w:val="0066712A"/>
    <w:rsid w:val="00667633"/>
    <w:rsid w:val="00675BE8"/>
    <w:rsid w:val="00676CAE"/>
    <w:rsid w:val="006773A1"/>
    <w:rsid w:val="0067757A"/>
    <w:rsid w:val="00677651"/>
    <w:rsid w:val="006822A2"/>
    <w:rsid w:val="00684DDF"/>
    <w:rsid w:val="00695FAE"/>
    <w:rsid w:val="006A5FD4"/>
    <w:rsid w:val="006A7E34"/>
    <w:rsid w:val="006C596B"/>
    <w:rsid w:val="006C5B98"/>
    <w:rsid w:val="006E0FCB"/>
    <w:rsid w:val="006E4762"/>
    <w:rsid w:val="006F0536"/>
    <w:rsid w:val="006F465B"/>
    <w:rsid w:val="00700027"/>
    <w:rsid w:val="0070066E"/>
    <w:rsid w:val="007074E2"/>
    <w:rsid w:val="007115B4"/>
    <w:rsid w:val="00730032"/>
    <w:rsid w:val="007301F2"/>
    <w:rsid w:val="0073134A"/>
    <w:rsid w:val="00746802"/>
    <w:rsid w:val="007505D0"/>
    <w:rsid w:val="00763BF7"/>
    <w:rsid w:val="0076436A"/>
    <w:rsid w:val="007645D7"/>
    <w:rsid w:val="007731A1"/>
    <w:rsid w:val="007750B7"/>
    <w:rsid w:val="00775E68"/>
    <w:rsid w:val="007878FE"/>
    <w:rsid w:val="00787A14"/>
    <w:rsid w:val="007914EF"/>
    <w:rsid w:val="007A1EEA"/>
    <w:rsid w:val="007A576E"/>
    <w:rsid w:val="007A5D53"/>
    <w:rsid w:val="007A610A"/>
    <w:rsid w:val="007B12E2"/>
    <w:rsid w:val="007C0C47"/>
    <w:rsid w:val="007C5583"/>
    <w:rsid w:val="007C559D"/>
    <w:rsid w:val="007D0604"/>
    <w:rsid w:val="007F2DF4"/>
    <w:rsid w:val="007F3B7C"/>
    <w:rsid w:val="007F5D13"/>
    <w:rsid w:val="00800517"/>
    <w:rsid w:val="00800A8F"/>
    <w:rsid w:val="008022A5"/>
    <w:rsid w:val="00804D7C"/>
    <w:rsid w:val="00807F80"/>
    <w:rsid w:val="008247BF"/>
    <w:rsid w:val="00837ABA"/>
    <w:rsid w:val="0084044A"/>
    <w:rsid w:val="00840FDB"/>
    <w:rsid w:val="00842DC4"/>
    <w:rsid w:val="00844089"/>
    <w:rsid w:val="00844CB7"/>
    <w:rsid w:val="00846339"/>
    <w:rsid w:val="00846952"/>
    <w:rsid w:val="00857F75"/>
    <w:rsid w:val="008768E6"/>
    <w:rsid w:val="008775DC"/>
    <w:rsid w:val="00891BAE"/>
    <w:rsid w:val="00893736"/>
    <w:rsid w:val="008A002C"/>
    <w:rsid w:val="008A2D0E"/>
    <w:rsid w:val="008A5FA3"/>
    <w:rsid w:val="008A6383"/>
    <w:rsid w:val="008B5CBB"/>
    <w:rsid w:val="008C14D8"/>
    <w:rsid w:val="008C7126"/>
    <w:rsid w:val="008D080A"/>
    <w:rsid w:val="008E27B7"/>
    <w:rsid w:val="008E7D0B"/>
    <w:rsid w:val="008F121B"/>
    <w:rsid w:val="008F18C4"/>
    <w:rsid w:val="008F4C9B"/>
    <w:rsid w:val="008F652E"/>
    <w:rsid w:val="009019FA"/>
    <w:rsid w:val="00903303"/>
    <w:rsid w:val="00913B1D"/>
    <w:rsid w:val="009147D1"/>
    <w:rsid w:val="0091607F"/>
    <w:rsid w:val="009203DB"/>
    <w:rsid w:val="00921AF7"/>
    <w:rsid w:val="00925B28"/>
    <w:rsid w:val="00930EFB"/>
    <w:rsid w:val="0095644D"/>
    <w:rsid w:val="00974FE4"/>
    <w:rsid w:val="00980090"/>
    <w:rsid w:val="00980AF6"/>
    <w:rsid w:val="009A3D59"/>
    <w:rsid w:val="009A5114"/>
    <w:rsid w:val="009B2BD4"/>
    <w:rsid w:val="009B3486"/>
    <w:rsid w:val="009B6682"/>
    <w:rsid w:val="009C4A80"/>
    <w:rsid w:val="009D084B"/>
    <w:rsid w:val="009D107E"/>
    <w:rsid w:val="009D53E6"/>
    <w:rsid w:val="009D5B8F"/>
    <w:rsid w:val="009D775C"/>
    <w:rsid w:val="009E46E3"/>
    <w:rsid w:val="009F0D8D"/>
    <w:rsid w:val="009F2D25"/>
    <w:rsid w:val="009F3EC3"/>
    <w:rsid w:val="00A01B17"/>
    <w:rsid w:val="00A022DF"/>
    <w:rsid w:val="00A116A9"/>
    <w:rsid w:val="00A14D8A"/>
    <w:rsid w:val="00A17801"/>
    <w:rsid w:val="00A252A6"/>
    <w:rsid w:val="00A27173"/>
    <w:rsid w:val="00A321A9"/>
    <w:rsid w:val="00A3606E"/>
    <w:rsid w:val="00A37037"/>
    <w:rsid w:val="00A4112C"/>
    <w:rsid w:val="00A44124"/>
    <w:rsid w:val="00A51310"/>
    <w:rsid w:val="00A56112"/>
    <w:rsid w:val="00A80632"/>
    <w:rsid w:val="00A87DBD"/>
    <w:rsid w:val="00A938E5"/>
    <w:rsid w:val="00AA1ACA"/>
    <w:rsid w:val="00AA59C0"/>
    <w:rsid w:val="00AA60F1"/>
    <w:rsid w:val="00AB128B"/>
    <w:rsid w:val="00AB1538"/>
    <w:rsid w:val="00AC289C"/>
    <w:rsid w:val="00AD1DC5"/>
    <w:rsid w:val="00AE2FED"/>
    <w:rsid w:val="00AE686F"/>
    <w:rsid w:val="00AE7972"/>
    <w:rsid w:val="00AF32BB"/>
    <w:rsid w:val="00AF6E60"/>
    <w:rsid w:val="00B00DB9"/>
    <w:rsid w:val="00B01724"/>
    <w:rsid w:val="00B15FDC"/>
    <w:rsid w:val="00B3142C"/>
    <w:rsid w:val="00B326FE"/>
    <w:rsid w:val="00B33EE8"/>
    <w:rsid w:val="00B62680"/>
    <w:rsid w:val="00B671F3"/>
    <w:rsid w:val="00B70AA9"/>
    <w:rsid w:val="00B76479"/>
    <w:rsid w:val="00B8547B"/>
    <w:rsid w:val="00B878A3"/>
    <w:rsid w:val="00B96808"/>
    <w:rsid w:val="00BA369D"/>
    <w:rsid w:val="00BA5ABE"/>
    <w:rsid w:val="00BB0002"/>
    <w:rsid w:val="00BB08F3"/>
    <w:rsid w:val="00BB5E5E"/>
    <w:rsid w:val="00BC76C2"/>
    <w:rsid w:val="00BD2B29"/>
    <w:rsid w:val="00BD433D"/>
    <w:rsid w:val="00BE0E3F"/>
    <w:rsid w:val="00BE4A69"/>
    <w:rsid w:val="00BF414A"/>
    <w:rsid w:val="00C044E0"/>
    <w:rsid w:val="00C10817"/>
    <w:rsid w:val="00C10913"/>
    <w:rsid w:val="00C15B94"/>
    <w:rsid w:val="00C2756C"/>
    <w:rsid w:val="00C3380D"/>
    <w:rsid w:val="00C54F10"/>
    <w:rsid w:val="00C56F10"/>
    <w:rsid w:val="00C81A83"/>
    <w:rsid w:val="00C81B0B"/>
    <w:rsid w:val="00C84B16"/>
    <w:rsid w:val="00C93A63"/>
    <w:rsid w:val="00C93C73"/>
    <w:rsid w:val="00CA3A8A"/>
    <w:rsid w:val="00CA7A67"/>
    <w:rsid w:val="00CC0878"/>
    <w:rsid w:val="00CC1877"/>
    <w:rsid w:val="00CC7CF2"/>
    <w:rsid w:val="00CC7DC5"/>
    <w:rsid w:val="00CD42C2"/>
    <w:rsid w:val="00CE6B4A"/>
    <w:rsid w:val="00D02E8C"/>
    <w:rsid w:val="00D05766"/>
    <w:rsid w:val="00D06825"/>
    <w:rsid w:val="00D11B64"/>
    <w:rsid w:val="00D20F3D"/>
    <w:rsid w:val="00D22F75"/>
    <w:rsid w:val="00D27946"/>
    <w:rsid w:val="00D433AC"/>
    <w:rsid w:val="00D44069"/>
    <w:rsid w:val="00D44236"/>
    <w:rsid w:val="00D5084D"/>
    <w:rsid w:val="00D552A8"/>
    <w:rsid w:val="00D55679"/>
    <w:rsid w:val="00D568DB"/>
    <w:rsid w:val="00D65F78"/>
    <w:rsid w:val="00D75CB3"/>
    <w:rsid w:val="00D821C6"/>
    <w:rsid w:val="00DA267B"/>
    <w:rsid w:val="00DB482C"/>
    <w:rsid w:val="00DC5544"/>
    <w:rsid w:val="00DD4678"/>
    <w:rsid w:val="00DE5757"/>
    <w:rsid w:val="00DF0E5B"/>
    <w:rsid w:val="00DF4BE7"/>
    <w:rsid w:val="00DF4D87"/>
    <w:rsid w:val="00DF531A"/>
    <w:rsid w:val="00DF6F04"/>
    <w:rsid w:val="00E04ECC"/>
    <w:rsid w:val="00E05646"/>
    <w:rsid w:val="00E170F7"/>
    <w:rsid w:val="00E174B1"/>
    <w:rsid w:val="00E215A9"/>
    <w:rsid w:val="00E22CC0"/>
    <w:rsid w:val="00E27DEC"/>
    <w:rsid w:val="00E34E94"/>
    <w:rsid w:val="00E353F9"/>
    <w:rsid w:val="00E45F33"/>
    <w:rsid w:val="00E56877"/>
    <w:rsid w:val="00E6063B"/>
    <w:rsid w:val="00E70E14"/>
    <w:rsid w:val="00E73C90"/>
    <w:rsid w:val="00E95485"/>
    <w:rsid w:val="00E962D3"/>
    <w:rsid w:val="00EA198A"/>
    <w:rsid w:val="00EA4172"/>
    <w:rsid w:val="00EB135E"/>
    <w:rsid w:val="00EB5633"/>
    <w:rsid w:val="00EC03F9"/>
    <w:rsid w:val="00EC096C"/>
    <w:rsid w:val="00EC14C2"/>
    <w:rsid w:val="00ED5E76"/>
    <w:rsid w:val="00ED7D23"/>
    <w:rsid w:val="00EE038E"/>
    <w:rsid w:val="00EE076B"/>
    <w:rsid w:val="00EF0FCB"/>
    <w:rsid w:val="00EF3684"/>
    <w:rsid w:val="00EF76BA"/>
    <w:rsid w:val="00F01998"/>
    <w:rsid w:val="00F053B8"/>
    <w:rsid w:val="00F05726"/>
    <w:rsid w:val="00F05A9A"/>
    <w:rsid w:val="00F10ACB"/>
    <w:rsid w:val="00F1770C"/>
    <w:rsid w:val="00F21AEB"/>
    <w:rsid w:val="00F22266"/>
    <w:rsid w:val="00F343F6"/>
    <w:rsid w:val="00F35244"/>
    <w:rsid w:val="00F4230F"/>
    <w:rsid w:val="00F50397"/>
    <w:rsid w:val="00F529D4"/>
    <w:rsid w:val="00F550A7"/>
    <w:rsid w:val="00F56274"/>
    <w:rsid w:val="00F80C9F"/>
    <w:rsid w:val="00F92647"/>
    <w:rsid w:val="00FA08C1"/>
    <w:rsid w:val="00FA2367"/>
    <w:rsid w:val="00FA61BC"/>
    <w:rsid w:val="00FB2950"/>
    <w:rsid w:val="00FB2A83"/>
    <w:rsid w:val="00FC1739"/>
    <w:rsid w:val="00FC1787"/>
    <w:rsid w:val="00FC430E"/>
    <w:rsid w:val="00FD4AE9"/>
    <w:rsid w:val="00FD5995"/>
    <w:rsid w:val="00FD7ABD"/>
    <w:rsid w:val="00FE0792"/>
    <w:rsid w:val="00FE182E"/>
    <w:rsid w:val="00FF2BE2"/>
    <w:rsid w:val="00FF34EF"/>
    <w:rsid w:val="00FF60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semiHidden="0" w:unhideWhenUsed="0" w:qFormat="1"/>
    <w:lsdException w:name="annotation reference" w:unhideWhenUsed="0"/>
    <w:lsdException w:name="Title" w:semiHidden="0" w:unhideWhenUsed="0" w:qFormat="1"/>
    <w:lsdException w:name="Default Paragraph Font" w:unhideWhenUsed="0"/>
    <w:lsdException w:name="Subtitle" w:semiHidden="0" w:unhideWhenUsed="0" w:qFormat="1"/>
    <w:lsdException w:name="Strong" w:semiHidden="0" w:unhideWhenUsed="0" w:qFormat="1"/>
    <w:lsdException w:name="Emphasis" w:semiHidden="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504FD7"/>
    <w:pPr>
      <w:spacing w:after="200" w:line="276" w:lineRule="auto"/>
    </w:pPr>
    <w:rPr>
      <w:rFonts w:cs="Cambria"/>
    </w:rPr>
  </w:style>
  <w:style w:type="paragraph" w:styleId="Heading1">
    <w:name w:val="heading 1"/>
    <w:basedOn w:val="Normal"/>
    <w:next w:val="Normal"/>
    <w:link w:val="Heading1Char"/>
    <w:uiPriority w:val="99"/>
    <w:qFormat/>
    <w:rsid w:val="00504FD7"/>
    <w:pPr>
      <w:spacing w:before="480" w:after="0"/>
      <w:outlineLvl w:val="0"/>
    </w:pPr>
    <w:rPr>
      <w:smallCaps/>
      <w:spacing w:val="5"/>
      <w:sz w:val="36"/>
      <w:szCs w:val="36"/>
    </w:rPr>
  </w:style>
  <w:style w:type="paragraph" w:styleId="Heading2">
    <w:name w:val="heading 2"/>
    <w:basedOn w:val="Normal"/>
    <w:next w:val="Normal"/>
    <w:link w:val="Heading2Char"/>
    <w:uiPriority w:val="99"/>
    <w:qFormat/>
    <w:rsid w:val="00504FD7"/>
    <w:pPr>
      <w:spacing w:before="200" w:after="0" w:line="271" w:lineRule="auto"/>
      <w:outlineLvl w:val="1"/>
    </w:pPr>
    <w:rPr>
      <w:smallCaps/>
      <w:sz w:val="28"/>
      <w:szCs w:val="28"/>
    </w:rPr>
  </w:style>
  <w:style w:type="paragraph" w:styleId="Heading3">
    <w:name w:val="heading 3"/>
    <w:basedOn w:val="Normal"/>
    <w:next w:val="Normal"/>
    <w:link w:val="Heading3Char"/>
    <w:uiPriority w:val="99"/>
    <w:qFormat/>
    <w:rsid w:val="00504FD7"/>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9"/>
    <w:qFormat/>
    <w:rsid w:val="00504FD7"/>
    <w:pPr>
      <w:spacing w:after="0" w:line="271" w:lineRule="auto"/>
      <w:outlineLvl w:val="3"/>
    </w:pPr>
    <w:rPr>
      <w:b/>
      <w:bCs/>
      <w:spacing w:val="5"/>
      <w:sz w:val="24"/>
      <w:szCs w:val="24"/>
    </w:rPr>
  </w:style>
  <w:style w:type="paragraph" w:styleId="Heading5">
    <w:name w:val="heading 5"/>
    <w:basedOn w:val="Normal"/>
    <w:next w:val="Normal"/>
    <w:link w:val="Heading5Char"/>
    <w:uiPriority w:val="99"/>
    <w:qFormat/>
    <w:rsid w:val="00504FD7"/>
    <w:pPr>
      <w:spacing w:after="0" w:line="271" w:lineRule="auto"/>
      <w:outlineLvl w:val="4"/>
    </w:pPr>
    <w:rPr>
      <w:i/>
      <w:iCs/>
      <w:sz w:val="24"/>
      <w:szCs w:val="24"/>
    </w:rPr>
  </w:style>
  <w:style w:type="paragraph" w:styleId="Heading6">
    <w:name w:val="heading 6"/>
    <w:basedOn w:val="Normal"/>
    <w:next w:val="Normal"/>
    <w:link w:val="Heading6Char"/>
    <w:uiPriority w:val="99"/>
    <w:qFormat/>
    <w:rsid w:val="00504FD7"/>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9"/>
    <w:qFormat/>
    <w:rsid w:val="00504FD7"/>
    <w:pPr>
      <w:spacing w:after="0"/>
      <w:outlineLvl w:val="6"/>
    </w:pPr>
    <w:rPr>
      <w:b/>
      <w:bCs/>
      <w:i/>
      <w:iCs/>
      <w:color w:val="5A5A5A"/>
      <w:sz w:val="20"/>
      <w:szCs w:val="20"/>
    </w:rPr>
  </w:style>
  <w:style w:type="paragraph" w:styleId="Heading8">
    <w:name w:val="heading 8"/>
    <w:basedOn w:val="Normal"/>
    <w:next w:val="Normal"/>
    <w:link w:val="Heading8Char"/>
    <w:uiPriority w:val="99"/>
    <w:qFormat/>
    <w:rsid w:val="00504FD7"/>
    <w:pPr>
      <w:spacing w:after="0"/>
      <w:outlineLvl w:val="7"/>
    </w:pPr>
    <w:rPr>
      <w:b/>
      <w:bCs/>
      <w:color w:val="7F7F7F"/>
      <w:sz w:val="20"/>
      <w:szCs w:val="20"/>
    </w:rPr>
  </w:style>
  <w:style w:type="paragraph" w:styleId="Heading9">
    <w:name w:val="heading 9"/>
    <w:basedOn w:val="Normal"/>
    <w:next w:val="Normal"/>
    <w:link w:val="Heading9Char"/>
    <w:uiPriority w:val="99"/>
    <w:qFormat/>
    <w:rsid w:val="00504FD7"/>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04FD7"/>
    <w:rPr>
      <w:smallCaps/>
      <w:spacing w:val="5"/>
      <w:sz w:val="36"/>
      <w:szCs w:val="36"/>
    </w:rPr>
  </w:style>
  <w:style w:type="character" w:customStyle="1" w:styleId="Heading2Char">
    <w:name w:val="Heading 2 Char"/>
    <w:basedOn w:val="DefaultParagraphFont"/>
    <w:link w:val="Heading2"/>
    <w:uiPriority w:val="99"/>
    <w:rsid w:val="00504FD7"/>
    <w:rPr>
      <w:smallCaps/>
      <w:sz w:val="28"/>
      <w:szCs w:val="28"/>
    </w:rPr>
  </w:style>
  <w:style w:type="character" w:customStyle="1" w:styleId="Heading3Char">
    <w:name w:val="Heading 3 Char"/>
    <w:basedOn w:val="DefaultParagraphFont"/>
    <w:link w:val="Heading3"/>
    <w:uiPriority w:val="99"/>
    <w:semiHidden/>
    <w:rsid w:val="00504FD7"/>
    <w:rPr>
      <w:i/>
      <w:iCs/>
      <w:smallCaps/>
      <w:spacing w:val="5"/>
      <w:sz w:val="26"/>
      <w:szCs w:val="26"/>
    </w:rPr>
  </w:style>
  <w:style w:type="character" w:customStyle="1" w:styleId="Heading4Char">
    <w:name w:val="Heading 4 Char"/>
    <w:basedOn w:val="DefaultParagraphFont"/>
    <w:link w:val="Heading4"/>
    <w:uiPriority w:val="99"/>
    <w:semiHidden/>
    <w:rsid w:val="00504FD7"/>
    <w:rPr>
      <w:b/>
      <w:bCs/>
      <w:spacing w:val="5"/>
      <w:sz w:val="24"/>
      <w:szCs w:val="24"/>
    </w:rPr>
  </w:style>
  <w:style w:type="character" w:customStyle="1" w:styleId="Heading5Char">
    <w:name w:val="Heading 5 Char"/>
    <w:basedOn w:val="DefaultParagraphFont"/>
    <w:link w:val="Heading5"/>
    <w:uiPriority w:val="99"/>
    <w:semiHidden/>
    <w:rsid w:val="00504FD7"/>
    <w:rPr>
      <w:i/>
      <w:iCs/>
      <w:sz w:val="24"/>
      <w:szCs w:val="24"/>
    </w:rPr>
  </w:style>
  <w:style w:type="character" w:customStyle="1" w:styleId="Heading6Char">
    <w:name w:val="Heading 6 Char"/>
    <w:basedOn w:val="DefaultParagraphFont"/>
    <w:link w:val="Heading6"/>
    <w:uiPriority w:val="99"/>
    <w:semiHidden/>
    <w:rsid w:val="00504FD7"/>
    <w:rPr>
      <w:b/>
      <w:bCs/>
      <w:color w:val="595959"/>
      <w:spacing w:val="5"/>
      <w:shd w:val="clear" w:color="auto" w:fill="FFFFFF"/>
    </w:rPr>
  </w:style>
  <w:style w:type="character" w:customStyle="1" w:styleId="Heading7Char">
    <w:name w:val="Heading 7 Char"/>
    <w:basedOn w:val="DefaultParagraphFont"/>
    <w:link w:val="Heading7"/>
    <w:uiPriority w:val="99"/>
    <w:semiHidden/>
    <w:rsid w:val="00504FD7"/>
    <w:rPr>
      <w:b/>
      <w:bCs/>
      <w:i/>
      <w:iCs/>
      <w:color w:val="5A5A5A"/>
      <w:sz w:val="20"/>
      <w:szCs w:val="20"/>
    </w:rPr>
  </w:style>
  <w:style w:type="character" w:customStyle="1" w:styleId="Heading8Char">
    <w:name w:val="Heading 8 Char"/>
    <w:basedOn w:val="DefaultParagraphFont"/>
    <w:link w:val="Heading8"/>
    <w:uiPriority w:val="99"/>
    <w:semiHidden/>
    <w:rsid w:val="00504FD7"/>
    <w:rPr>
      <w:b/>
      <w:bCs/>
      <w:color w:val="7F7F7F"/>
      <w:sz w:val="20"/>
      <w:szCs w:val="20"/>
    </w:rPr>
  </w:style>
  <w:style w:type="character" w:customStyle="1" w:styleId="Heading9Char">
    <w:name w:val="Heading 9 Char"/>
    <w:basedOn w:val="DefaultParagraphFont"/>
    <w:link w:val="Heading9"/>
    <w:uiPriority w:val="99"/>
    <w:semiHidden/>
    <w:rsid w:val="00504FD7"/>
    <w:rPr>
      <w:b/>
      <w:bCs/>
      <w:i/>
      <w:iCs/>
      <w:color w:val="7F7F7F"/>
      <w:sz w:val="18"/>
      <w:szCs w:val="18"/>
    </w:rPr>
  </w:style>
  <w:style w:type="paragraph" w:styleId="Title">
    <w:name w:val="Title"/>
    <w:basedOn w:val="Normal"/>
    <w:next w:val="Normal"/>
    <w:link w:val="TitleChar"/>
    <w:uiPriority w:val="99"/>
    <w:qFormat/>
    <w:rsid w:val="00504FD7"/>
    <w:pPr>
      <w:spacing w:after="300" w:line="240" w:lineRule="auto"/>
    </w:pPr>
    <w:rPr>
      <w:smallCaps/>
      <w:sz w:val="52"/>
      <w:szCs w:val="52"/>
    </w:rPr>
  </w:style>
  <w:style w:type="character" w:customStyle="1" w:styleId="TitleChar">
    <w:name w:val="Title Char"/>
    <w:basedOn w:val="DefaultParagraphFont"/>
    <w:link w:val="Title"/>
    <w:uiPriority w:val="99"/>
    <w:rsid w:val="00504FD7"/>
    <w:rPr>
      <w:smallCaps/>
      <w:sz w:val="52"/>
      <w:szCs w:val="52"/>
    </w:rPr>
  </w:style>
  <w:style w:type="paragraph" w:styleId="Subtitle">
    <w:name w:val="Subtitle"/>
    <w:basedOn w:val="Normal"/>
    <w:next w:val="Normal"/>
    <w:link w:val="SubtitleChar"/>
    <w:uiPriority w:val="99"/>
    <w:qFormat/>
    <w:rsid w:val="00504FD7"/>
    <w:rPr>
      <w:i/>
      <w:iCs/>
      <w:smallCaps/>
      <w:spacing w:val="10"/>
      <w:sz w:val="28"/>
      <w:szCs w:val="28"/>
    </w:rPr>
  </w:style>
  <w:style w:type="character" w:customStyle="1" w:styleId="SubtitleChar">
    <w:name w:val="Subtitle Char"/>
    <w:basedOn w:val="DefaultParagraphFont"/>
    <w:link w:val="Subtitle"/>
    <w:uiPriority w:val="99"/>
    <w:rsid w:val="00504FD7"/>
    <w:rPr>
      <w:i/>
      <w:iCs/>
      <w:smallCaps/>
      <w:spacing w:val="10"/>
      <w:sz w:val="28"/>
      <w:szCs w:val="28"/>
    </w:rPr>
  </w:style>
  <w:style w:type="character" w:styleId="Strong">
    <w:name w:val="Strong"/>
    <w:basedOn w:val="DefaultParagraphFont"/>
    <w:uiPriority w:val="99"/>
    <w:qFormat/>
    <w:rsid w:val="00504FD7"/>
    <w:rPr>
      <w:b/>
      <w:bCs/>
    </w:rPr>
  </w:style>
  <w:style w:type="character" w:styleId="Emphasis">
    <w:name w:val="Emphasis"/>
    <w:basedOn w:val="DefaultParagraphFont"/>
    <w:uiPriority w:val="99"/>
    <w:qFormat/>
    <w:rsid w:val="00504FD7"/>
    <w:rPr>
      <w:b/>
      <w:bCs/>
      <w:i/>
      <w:iCs/>
      <w:spacing w:val="10"/>
    </w:rPr>
  </w:style>
  <w:style w:type="paragraph" w:styleId="NoSpacing">
    <w:name w:val="No Spacing"/>
    <w:basedOn w:val="Normal"/>
    <w:link w:val="NoSpacingChar"/>
    <w:uiPriority w:val="99"/>
    <w:qFormat/>
    <w:rsid w:val="00504FD7"/>
    <w:pPr>
      <w:spacing w:after="0" w:line="240" w:lineRule="auto"/>
    </w:pPr>
  </w:style>
  <w:style w:type="paragraph" w:styleId="ListParagraph">
    <w:name w:val="List Paragraph"/>
    <w:basedOn w:val="Normal"/>
    <w:uiPriority w:val="99"/>
    <w:qFormat/>
    <w:rsid w:val="00504FD7"/>
    <w:pPr>
      <w:ind w:left="720"/>
    </w:pPr>
  </w:style>
  <w:style w:type="paragraph" w:styleId="Quote">
    <w:name w:val="Quote"/>
    <w:basedOn w:val="Normal"/>
    <w:next w:val="Normal"/>
    <w:link w:val="QuoteChar"/>
    <w:uiPriority w:val="99"/>
    <w:qFormat/>
    <w:rsid w:val="00504FD7"/>
    <w:rPr>
      <w:i/>
      <w:iCs/>
    </w:rPr>
  </w:style>
  <w:style w:type="character" w:customStyle="1" w:styleId="QuoteChar">
    <w:name w:val="Quote Char"/>
    <w:basedOn w:val="DefaultParagraphFont"/>
    <w:link w:val="Quote"/>
    <w:uiPriority w:val="99"/>
    <w:rsid w:val="00504FD7"/>
    <w:rPr>
      <w:i/>
      <w:iCs/>
    </w:rPr>
  </w:style>
  <w:style w:type="paragraph" w:styleId="IntenseQuote">
    <w:name w:val="Intense Quote"/>
    <w:basedOn w:val="Normal"/>
    <w:next w:val="Normal"/>
    <w:link w:val="IntenseQuoteChar"/>
    <w:uiPriority w:val="99"/>
    <w:qFormat/>
    <w:rsid w:val="00504FD7"/>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99"/>
    <w:rsid w:val="00504FD7"/>
    <w:rPr>
      <w:i/>
      <w:iCs/>
    </w:rPr>
  </w:style>
  <w:style w:type="character" w:styleId="SubtleEmphasis">
    <w:name w:val="Subtle Emphasis"/>
    <w:basedOn w:val="DefaultParagraphFont"/>
    <w:uiPriority w:val="99"/>
    <w:qFormat/>
    <w:rsid w:val="00504FD7"/>
    <w:rPr>
      <w:i/>
      <w:iCs/>
    </w:rPr>
  </w:style>
  <w:style w:type="character" w:styleId="IntenseEmphasis">
    <w:name w:val="Intense Emphasis"/>
    <w:basedOn w:val="DefaultParagraphFont"/>
    <w:uiPriority w:val="99"/>
    <w:qFormat/>
    <w:rsid w:val="00504FD7"/>
    <w:rPr>
      <w:b/>
      <w:bCs/>
      <w:i/>
      <w:iCs/>
    </w:rPr>
  </w:style>
  <w:style w:type="character" w:styleId="SubtleReference">
    <w:name w:val="Subtle Reference"/>
    <w:basedOn w:val="DefaultParagraphFont"/>
    <w:uiPriority w:val="99"/>
    <w:qFormat/>
    <w:rsid w:val="00504FD7"/>
    <w:rPr>
      <w:smallCaps/>
    </w:rPr>
  </w:style>
  <w:style w:type="character" w:styleId="IntenseReference">
    <w:name w:val="Intense Reference"/>
    <w:basedOn w:val="DefaultParagraphFont"/>
    <w:uiPriority w:val="99"/>
    <w:qFormat/>
    <w:rsid w:val="00504FD7"/>
    <w:rPr>
      <w:b/>
      <w:bCs/>
      <w:smallCaps/>
    </w:rPr>
  </w:style>
  <w:style w:type="character" w:styleId="BookTitle">
    <w:name w:val="Book Title"/>
    <w:basedOn w:val="DefaultParagraphFont"/>
    <w:uiPriority w:val="99"/>
    <w:qFormat/>
    <w:rsid w:val="00504FD7"/>
    <w:rPr>
      <w:i/>
      <w:iCs/>
      <w:smallCaps/>
      <w:spacing w:val="5"/>
    </w:rPr>
  </w:style>
  <w:style w:type="paragraph" w:styleId="TOCHeading">
    <w:name w:val="TOC Heading"/>
    <w:basedOn w:val="Heading1"/>
    <w:next w:val="Normal"/>
    <w:uiPriority w:val="99"/>
    <w:qFormat/>
    <w:rsid w:val="00504FD7"/>
    <w:pPr>
      <w:outlineLvl w:val="9"/>
    </w:pPr>
  </w:style>
  <w:style w:type="paragraph" w:styleId="Caption">
    <w:name w:val="caption"/>
    <w:basedOn w:val="Normal"/>
    <w:next w:val="Normal"/>
    <w:uiPriority w:val="99"/>
    <w:qFormat/>
    <w:rsid w:val="00D552A8"/>
    <w:pPr>
      <w:spacing w:line="240" w:lineRule="auto"/>
    </w:pPr>
    <w:rPr>
      <w:b/>
      <w:bCs/>
      <w:color w:val="4F81BD"/>
      <w:sz w:val="18"/>
      <w:szCs w:val="18"/>
    </w:rPr>
  </w:style>
  <w:style w:type="character" w:customStyle="1" w:styleId="NoSpacingChar">
    <w:name w:val="No Spacing Char"/>
    <w:basedOn w:val="DefaultParagraphFont"/>
    <w:link w:val="NoSpacing"/>
    <w:uiPriority w:val="99"/>
    <w:rsid w:val="00D552A8"/>
  </w:style>
  <w:style w:type="paragraph" w:styleId="BalloonText">
    <w:name w:val="Balloon Text"/>
    <w:basedOn w:val="Normal"/>
    <w:link w:val="BalloonTextChar"/>
    <w:uiPriority w:val="99"/>
    <w:semiHidden/>
    <w:rsid w:val="008F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21B"/>
    <w:rPr>
      <w:rFonts w:ascii="Tahoma" w:hAnsi="Tahoma" w:cs="Tahoma"/>
      <w:sz w:val="16"/>
      <w:szCs w:val="16"/>
    </w:rPr>
  </w:style>
  <w:style w:type="paragraph" w:styleId="Header">
    <w:name w:val="header"/>
    <w:basedOn w:val="Normal"/>
    <w:link w:val="HeaderChar"/>
    <w:uiPriority w:val="99"/>
    <w:semiHidden/>
    <w:rsid w:val="009019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19FA"/>
  </w:style>
  <w:style w:type="paragraph" w:styleId="Footer">
    <w:name w:val="footer"/>
    <w:basedOn w:val="Normal"/>
    <w:link w:val="FooterChar"/>
    <w:uiPriority w:val="99"/>
    <w:rsid w:val="00901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9FA"/>
  </w:style>
  <w:style w:type="character" w:styleId="CommentReference">
    <w:name w:val="annotation reference"/>
    <w:basedOn w:val="DefaultParagraphFont"/>
    <w:uiPriority w:val="99"/>
    <w:semiHidden/>
    <w:rsid w:val="009019FA"/>
    <w:rPr>
      <w:sz w:val="16"/>
      <w:szCs w:val="16"/>
    </w:rPr>
  </w:style>
  <w:style w:type="paragraph" w:styleId="CommentText">
    <w:name w:val="annotation text"/>
    <w:basedOn w:val="Normal"/>
    <w:link w:val="CommentTextChar"/>
    <w:uiPriority w:val="99"/>
    <w:semiHidden/>
    <w:rsid w:val="009019FA"/>
    <w:pPr>
      <w:spacing w:line="240" w:lineRule="auto"/>
    </w:pPr>
    <w:rPr>
      <w:sz w:val="20"/>
      <w:szCs w:val="20"/>
    </w:rPr>
  </w:style>
  <w:style w:type="character" w:customStyle="1" w:styleId="CommentTextChar">
    <w:name w:val="Comment Text Char"/>
    <w:basedOn w:val="DefaultParagraphFont"/>
    <w:link w:val="CommentText"/>
    <w:uiPriority w:val="99"/>
    <w:semiHidden/>
    <w:rsid w:val="009019FA"/>
    <w:rPr>
      <w:sz w:val="20"/>
      <w:szCs w:val="20"/>
    </w:rPr>
  </w:style>
  <w:style w:type="paragraph" w:styleId="CommentSubject">
    <w:name w:val="annotation subject"/>
    <w:basedOn w:val="CommentText"/>
    <w:next w:val="CommentText"/>
    <w:link w:val="CommentSubjectChar"/>
    <w:uiPriority w:val="99"/>
    <w:semiHidden/>
    <w:rsid w:val="009019FA"/>
    <w:rPr>
      <w:b/>
      <w:bCs/>
    </w:rPr>
  </w:style>
  <w:style w:type="character" w:customStyle="1" w:styleId="CommentSubjectChar">
    <w:name w:val="Comment Subject Char"/>
    <w:basedOn w:val="CommentTextChar"/>
    <w:link w:val="CommentSubject"/>
    <w:uiPriority w:val="99"/>
    <w:semiHidden/>
    <w:rsid w:val="009019F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4864</Words>
  <Characters>27558</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Transforming Rental Assistance</vt:lpstr>
    </vt:vector>
  </TitlesOfParts>
  <Company>Housing and Urban Development</Company>
  <LinksUpToDate>false</LinksUpToDate>
  <CharactersWithSpaces>32358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Rental Assistance</dc:title>
  <dc:creator>Jennifer Lavorel</dc:creator>
  <cp:lastModifiedBy>Cathy</cp:lastModifiedBy>
  <cp:revision>2</cp:revision>
  <cp:lastPrinted>2010-06-14T13:16:00Z</cp:lastPrinted>
  <dcterms:created xsi:type="dcterms:W3CDTF">2010-10-13T18:28:00Z</dcterms:created>
  <dcterms:modified xsi:type="dcterms:W3CDTF">2010-10-13T18:28:00Z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-1638120384</vt:i4>
  </property>
  <property fmtid="{D5CDD505-2E9C-101B-9397-08002B2CF9AE}" pid="3" name="_EmailSubject">
    <vt:lpwstr>Finalized TRA documents</vt:lpwstr>
  </property>
  <property fmtid="{D5CDD505-2E9C-101B-9397-08002B2CF9AE}" pid="4" name="_AuthorEmail">
    <vt:lpwstr>Rebecca.A.Koepnick@hud.gov</vt:lpwstr>
  </property>
  <property fmtid="{D5CDD505-2E9C-101B-9397-08002B2CF9AE}" pid="5" name="_AuthorEmailDisplayName">
    <vt:lpwstr>Koepnick, Rebecca A</vt:lpwstr>
  </property>
  <property fmtid="{D5CDD505-2E9C-101B-9397-08002B2CF9AE}" pid="6" name="_PreviousAdHocReviewCycleID">
    <vt:i4>-1090662853</vt:i4>
  </property>
  <property fmtid="{D5CDD505-2E9C-101B-9397-08002B2CF9AE}" pid="7" name="_NewReviewCycle">
    <vt:lpwstr/>
  </property>
  <property fmtid="{D5CDD505-2E9C-101B-9397-08002B2CF9AE}" pid="8" name="_ReviewingToolsShownOnce">
    <vt:lpwstr/>
  </property>
</Properties>
</file>